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Default Extension="rels" ContentType="application/vnd.openxmlformats-package.relationships+xml"/>
  <Override PartName="/word/diagrams/colors1.xml" ContentType="application/vnd.openxmlformats-officedocument.drawingml.diagramColor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126"/>
        <w:gridCol w:w="5793"/>
      </w:tblGrid>
      <w:tr w:rsidR="0054199C" w:rsidRPr="00AD3534" w:rsidTr="0096281C">
        <w:trPr>
          <w:gridAfter w:val="1"/>
          <w:wAfter w:w="5793" w:type="dxa"/>
        </w:trPr>
        <w:tc>
          <w:tcPr>
            <w:tcW w:w="3126" w:type="dxa"/>
            <w:shd w:val="clear" w:color="auto" w:fill="auto"/>
          </w:tcPr>
          <w:p w:rsidR="0054199C" w:rsidRPr="00AD3534" w:rsidRDefault="0054199C" w:rsidP="0096281C">
            <w:pPr>
              <w:rPr>
                <w:rFonts w:cs="Arial"/>
                <w:sz w:val="24"/>
                <w:szCs w:val="24"/>
              </w:rPr>
            </w:pPr>
            <w:bookmarkStart w:id="0" w:name="_GoBack"/>
            <w:bookmarkEnd w:id="0"/>
            <w:r w:rsidRPr="00AD3534">
              <w:rPr>
                <w:rFonts w:cs="Arial"/>
                <w:b/>
                <w:sz w:val="24"/>
                <w:szCs w:val="24"/>
              </w:rPr>
              <w:t xml:space="preserve">   </w:t>
            </w:r>
          </w:p>
        </w:tc>
      </w:tr>
      <w:tr w:rsidR="0054199C" w:rsidRPr="00AD3534" w:rsidTr="00FD0E7C">
        <w:tc>
          <w:tcPr>
            <w:tcW w:w="3126" w:type="dxa"/>
            <w:shd w:val="clear" w:color="auto" w:fill="auto"/>
          </w:tcPr>
          <w:p w:rsidR="0054199C" w:rsidRPr="00AD3534" w:rsidRDefault="0054199C" w:rsidP="0054199C">
            <w:pPr>
              <w:rPr>
                <w:rFonts w:cs="Arial"/>
                <w:sz w:val="24"/>
                <w:szCs w:val="24"/>
              </w:rPr>
            </w:pPr>
            <w:r w:rsidRPr="00AD3534">
              <w:rPr>
                <w:rFonts w:cs="Arial"/>
                <w:noProof/>
                <w:sz w:val="24"/>
                <w:szCs w:val="24"/>
                <w:lang w:eastAsia="en-ZA"/>
              </w:rPr>
              <w:drawing>
                <wp:inline distT="0" distB="0" distL="0" distR="0" wp14:anchorId="355195E1" wp14:editId="15EFACA9">
                  <wp:extent cx="1789177" cy="124587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8795" cy="1245870"/>
                          </a:xfrm>
                          <a:prstGeom prst="rect">
                            <a:avLst/>
                          </a:prstGeom>
                          <a:ln>
                            <a:noFill/>
                          </a:ln>
                          <a:effectLst>
                            <a:softEdge rad="112500"/>
                          </a:effectLst>
                          <a:extLst/>
                        </pic:spPr>
                      </pic:pic>
                    </a:graphicData>
                  </a:graphic>
                </wp:inline>
              </w:drawing>
            </w:r>
            <w:r w:rsidRPr="00AD3534">
              <w:rPr>
                <w:rFonts w:cs="Arial"/>
                <w:noProof/>
                <w:sz w:val="24"/>
                <w:szCs w:val="24"/>
                <w:lang w:eastAsia="en-ZA"/>
              </w:rPr>
              <w:drawing>
                <wp:inline distT="0" distB="0" distL="0" distR="0" wp14:anchorId="7AF47419" wp14:editId="0F16D919">
                  <wp:extent cx="1838325" cy="1378463"/>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8325" cy="1377950"/>
                          </a:xfrm>
                          <a:prstGeom prst="rect">
                            <a:avLst/>
                          </a:prstGeom>
                          <a:ln>
                            <a:noFill/>
                          </a:ln>
                          <a:effectLst>
                            <a:softEdge rad="112500"/>
                          </a:effectLst>
                        </pic:spPr>
                      </pic:pic>
                    </a:graphicData>
                  </a:graphic>
                </wp:inline>
              </w:drawing>
            </w:r>
            <w:r w:rsidRPr="00AD3534">
              <w:rPr>
                <w:rFonts w:cs="Arial"/>
                <w:noProof/>
                <w:sz w:val="24"/>
                <w:szCs w:val="24"/>
                <w:lang w:eastAsia="en-ZA"/>
              </w:rPr>
              <w:drawing>
                <wp:inline distT="0" distB="0" distL="0" distR="0" wp14:anchorId="656242F4" wp14:editId="05AF715F">
                  <wp:extent cx="1789177" cy="1351788"/>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795" cy="1351280"/>
                          </a:xfrm>
                          <a:prstGeom prst="rect">
                            <a:avLst/>
                          </a:prstGeom>
                          <a:ln>
                            <a:noFill/>
                          </a:ln>
                          <a:effectLst>
                            <a:softEdge rad="112500"/>
                          </a:effectLst>
                        </pic:spPr>
                      </pic:pic>
                    </a:graphicData>
                  </a:graphic>
                </wp:inline>
              </w:drawing>
            </w:r>
            <w:r w:rsidRPr="00AD3534">
              <w:rPr>
                <w:rFonts w:cs="Arial"/>
                <w:noProof/>
                <w:sz w:val="24"/>
                <w:szCs w:val="24"/>
                <w:lang w:eastAsia="en-ZA"/>
              </w:rPr>
              <w:drawing>
                <wp:inline distT="0" distB="0" distL="0" distR="0" wp14:anchorId="1DFDA371" wp14:editId="2673EC43">
                  <wp:extent cx="1789177" cy="1369060"/>
                  <wp:effectExtent l="0" t="0" r="1905" b="2540"/>
                  <wp:docPr id="30" name="Picture 30" descr="C:\Users\02993\Pictures\Pictures requested by Swazi Maja\YP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02993\Pictures\Pictures requested by Swazi Maja\YPs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8795" cy="1369060"/>
                          </a:xfrm>
                          <a:prstGeom prst="rect">
                            <a:avLst/>
                          </a:prstGeom>
                          <a:ln>
                            <a:noFill/>
                          </a:ln>
                          <a:effectLst>
                            <a:softEdge rad="112500"/>
                          </a:effectLst>
                        </pic:spPr>
                      </pic:pic>
                    </a:graphicData>
                  </a:graphic>
                </wp:inline>
              </w:drawing>
            </w:r>
            <w:r w:rsidRPr="00AD3534">
              <w:rPr>
                <w:rFonts w:cs="Arial"/>
                <w:noProof/>
                <w:sz w:val="24"/>
                <w:szCs w:val="24"/>
                <w:lang w:eastAsia="en-ZA"/>
              </w:rPr>
              <w:drawing>
                <wp:inline distT="0" distB="0" distL="0" distR="0" wp14:anchorId="0BFE6077" wp14:editId="38C75A65">
                  <wp:extent cx="1838325" cy="1304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3">
                            <a:extLst>
                              <a:ext uri="{28A0092B-C50C-407E-A947-70E740481C1C}">
                                <a14:useLocalDpi xmlns:a14="http://schemas.microsoft.com/office/drawing/2010/main" val="0"/>
                              </a:ext>
                            </a:extLst>
                          </a:blip>
                          <a:stretch>
                            <a:fillRect/>
                          </a:stretch>
                        </pic:blipFill>
                        <pic:spPr>
                          <a:xfrm>
                            <a:off x="0" y="0"/>
                            <a:ext cx="1838325" cy="1304925"/>
                          </a:xfrm>
                          <a:prstGeom prst="rect">
                            <a:avLst/>
                          </a:prstGeom>
                          <a:ln>
                            <a:noFill/>
                          </a:ln>
                          <a:effectLst>
                            <a:softEdge rad="112500"/>
                          </a:effectLst>
                        </pic:spPr>
                      </pic:pic>
                    </a:graphicData>
                  </a:graphic>
                </wp:inline>
              </w:drawing>
            </w:r>
          </w:p>
        </w:tc>
        <w:tc>
          <w:tcPr>
            <w:tcW w:w="5793" w:type="dxa"/>
          </w:tcPr>
          <w:p w:rsidR="0054199C" w:rsidRPr="00AD3534" w:rsidRDefault="0054199C" w:rsidP="0054199C">
            <w:pPr>
              <w:rPr>
                <w:rFonts w:cs="Arial"/>
                <w:sz w:val="24"/>
                <w:szCs w:val="24"/>
              </w:rPr>
            </w:pPr>
          </w:p>
          <w:p w:rsidR="0054199C" w:rsidRPr="00AD3534" w:rsidRDefault="0054199C" w:rsidP="0054199C">
            <w:pPr>
              <w:ind w:left="380"/>
              <w:rPr>
                <w:rFonts w:cs="Arial"/>
                <w:b/>
                <w:sz w:val="24"/>
                <w:szCs w:val="24"/>
                <w:lang w:eastAsia="en-ZA"/>
              </w:rPr>
            </w:pPr>
          </w:p>
          <w:p w:rsidR="0054199C" w:rsidRPr="00AD3534" w:rsidRDefault="0054199C" w:rsidP="0054199C">
            <w:pPr>
              <w:ind w:left="380" w:right="-1"/>
              <w:rPr>
                <w:rFonts w:cs="Arial"/>
                <w:b/>
                <w:caps/>
                <w:sz w:val="24"/>
                <w:szCs w:val="24"/>
              </w:rPr>
            </w:pPr>
            <w:r w:rsidRPr="00AD3534">
              <w:rPr>
                <w:rFonts w:cs="Arial"/>
                <w:b/>
                <w:caps/>
                <w:sz w:val="24"/>
                <w:szCs w:val="24"/>
              </w:rPr>
              <w:t xml:space="preserve">  Infrastructure Delivery Division </w:t>
            </w:r>
          </w:p>
          <w:p w:rsidR="0054199C" w:rsidRPr="00AD3534" w:rsidRDefault="0054199C" w:rsidP="0054199C">
            <w:pPr>
              <w:ind w:left="380"/>
              <w:rPr>
                <w:rFonts w:cs="Arial"/>
                <w:b/>
                <w:sz w:val="24"/>
                <w:szCs w:val="24"/>
              </w:rPr>
            </w:pPr>
          </w:p>
          <w:p w:rsidR="0054199C" w:rsidRPr="00AD3534" w:rsidRDefault="0054199C" w:rsidP="0054199C">
            <w:pPr>
              <w:jc w:val="center"/>
              <w:rPr>
                <w:rFonts w:cs="Arial"/>
                <w:b/>
                <w:sz w:val="24"/>
                <w:szCs w:val="24"/>
              </w:rPr>
            </w:pPr>
            <w:r w:rsidRPr="00AD3534">
              <w:rPr>
                <w:rFonts w:cs="Arial"/>
                <w:b/>
                <w:sz w:val="24"/>
                <w:szCs w:val="24"/>
              </w:rPr>
              <w:t xml:space="preserve">  </w:t>
            </w:r>
            <w:r w:rsidR="004872B5">
              <w:rPr>
                <w:rFonts w:cs="Arial"/>
                <w:b/>
                <w:sz w:val="24"/>
                <w:szCs w:val="24"/>
              </w:rPr>
              <w:t>2016/2017 ANNUAL</w:t>
            </w:r>
            <w:r w:rsidRPr="00AD3534">
              <w:rPr>
                <w:rFonts w:cs="Arial"/>
                <w:b/>
                <w:sz w:val="24"/>
                <w:szCs w:val="24"/>
              </w:rPr>
              <w:t xml:space="preserve"> BEPP EVALUATION REPORT</w:t>
            </w:r>
          </w:p>
          <w:p w:rsidR="0054199C" w:rsidRPr="00AD3534" w:rsidRDefault="0054199C" w:rsidP="0054199C">
            <w:pPr>
              <w:ind w:left="380" w:right="-1"/>
              <w:rPr>
                <w:rFonts w:cs="Arial"/>
                <w:b/>
                <w:sz w:val="24"/>
                <w:szCs w:val="24"/>
              </w:rPr>
            </w:pPr>
            <w:r w:rsidRPr="00AD3534">
              <w:rPr>
                <w:rFonts w:cs="Arial"/>
                <w:noProof/>
                <w:sz w:val="24"/>
                <w:szCs w:val="24"/>
                <w:lang w:eastAsia="en-ZA"/>
              </w:rPr>
              <mc:AlternateContent>
                <mc:Choice Requires="wps">
                  <w:drawing>
                    <wp:anchor distT="4294967295" distB="4294967295" distL="114300" distR="114300" simplePos="0" relativeHeight="251681792" behindDoc="0" locked="0" layoutInCell="1" allowOverlap="1" wp14:anchorId="52E3B220" wp14:editId="043562E0">
                      <wp:simplePos x="0" y="0"/>
                      <wp:positionH relativeFrom="column">
                        <wp:posOffset>120650</wp:posOffset>
                      </wp:positionH>
                      <wp:positionV relativeFrom="paragraph">
                        <wp:posOffset>200024</wp:posOffset>
                      </wp:positionV>
                      <wp:extent cx="3867150" cy="0"/>
                      <wp:effectExtent l="38100" t="38100" r="57150" b="952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0" cy="0"/>
                              </a:xfrm>
                              <a:prstGeom prst="line">
                                <a:avLst/>
                              </a:prstGeom>
                              <a:noFill/>
                              <a:ln w="25400" cap="flat" cmpd="sng" algn="ctr">
                                <a:solidFill>
                                  <a:srgbClr val="F79646">
                                    <a:lumMod val="50000"/>
                                  </a:srgbClr>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3F82652" id="Straight Connector 10"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5pt,15.75pt" to="31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" strokecolor="#984807" strokeweight="2pt">
                      <v:shadow on="t" color="black" opacity="24903f" origin=",.5" offset="0,.55556mm"/>
                      <o:lock v:ext="edit" shapetype="f"/>
                    </v:line>
                  </w:pict>
                </mc:Fallback>
              </mc:AlternateContent>
            </w:r>
          </w:p>
          <w:p w:rsidR="0054199C" w:rsidRPr="00AD3534" w:rsidRDefault="0054199C" w:rsidP="0054199C">
            <w:pPr>
              <w:ind w:left="380" w:right="-1"/>
              <w:rPr>
                <w:rFonts w:cs="Arial"/>
                <w:b/>
                <w:sz w:val="24"/>
                <w:szCs w:val="24"/>
              </w:rPr>
            </w:pPr>
          </w:p>
          <w:p w:rsidR="0054199C" w:rsidRPr="00AD3534" w:rsidRDefault="0054199C" w:rsidP="0054199C">
            <w:pPr>
              <w:ind w:left="380" w:right="-1"/>
              <w:rPr>
                <w:rFonts w:cs="Arial"/>
                <w:b/>
                <w:sz w:val="24"/>
                <w:szCs w:val="24"/>
              </w:rPr>
            </w:pPr>
            <w:r w:rsidRPr="00AD3534">
              <w:rPr>
                <w:rFonts w:cs="Arial"/>
                <w:b/>
                <w:sz w:val="24"/>
                <w:szCs w:val="24"/>
              </w:rPr>
              <w:t>Prepared for:</w:t>
            </w:r>
          </w:p>
          <w:p w:rsidR="0054199C" w:rsidRPr="00AD3534" w:rsidRDefault="0054199C" w:rsidP="0054199C">
            <w:pPr>
              <w:ind w:left="380" w:right="-1"/>
              <w:rPr>
                <w:rFonts w:cs="Arial"/>
                <w:b/>
                <w:sz w:val="24"/>
                <w:szCs w:val="24"/>
              </w:rPr>
            </w:pPr>
            <w:r w:rsidRPr="00AD3534">
              <w:rPr>
                <w:rFonts w:cs="Arial"/>
                <w:b/>
                <w:sz w:val="24"/>
                <w:szCs w:val="24"/>
              </w:rPr>
              <w:t>National Treasury – Cities Support Programme</w:t>
            </w:r>
            <w:r>
              <w:rPr>
                <w:rFonts w:cs="Arial"/>
                <w:b/>
                <w:sz w:val="24"/>
                <w:szCs w:val="24"/>
              </w:rPr>
              <w:t xml:space="preserve"> (CSP)</w:t>
            </w:r>
          </w:p>
          <w:p w:rsidR="0054199C" w:rsidRPr="00AD3534" w:rsidRDefault="0054199C" w:rsidP="0054199C">
            <w:pPr>
              <w:ind w:left="380"/>
              <w:rPr>
                <w:rFonts w:cs="Arial"/>
                <w:sz w:val="24"/>
                <w:szCs w:val="24"/>
              </w:rPr>
            </w:pPr>
            <w:r w:rsidRPr="00AD3534">
              <w:rPr>
                <w:rFonts w:cs="Arial"/>
                <w:noProof/>
                <w:sz w:val="24"/>
                <w:szCs w:val="24"/>
                <w:lang w:eastAsia="en-ZA"/>
              </w:rPr>
              <mc:AlternateContent>
                <mc:Choice Requires="wps">
                  <w:drawing>
                    <wp:anchor distT="4294967295" distB="4294967295" distL="114300" distR="114300" simplePos="0" relativeHeight="251682816" behindDoc="0" locked="0" layoutInCell="1" allowOverlap="1" wp14:anchorId="0F1ED869" wp14:editId="2D60EDFE">
                      <wp:simplePos x="0" y="0"/>
                      <wp:positionH relativeFrom="column">
                        <wp:posOffset>149225</wp:posOffset>
                      </wp:positionH>
                      <wp:positionV relativeFrom="paragraph">
                        <wp:posOffset>267969</wp:posOffset>
                      </wp:positionV>
                      <wp:extent cx="3867150" cy="0"/>
                      <wp:effectExtent l="38100" t="38100" r="57150" b="952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67150" cy="0"/>
                              </a:xfrm>
                              <a:prstGeom prst="line">
                                <a:avLst/>
                              </a:prstGeom>
                              <a:noFill/>
                              <a:ln w="25400" cap="flat" cmpd="sng" algn="ctr">
                                <a:solidFill>
                                  <a:srgbClr val="F79646">
                                    <a:lumMod val="50000"/>
                                  </a:srgbClr>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367031E" id="Straight Connector 1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75pt,21.1pt" to="316.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" strokecolor="#984807" strokeweight="2pt">
                      <v:shadow on="t" color="black" opacity="24903f" origin=",.5" offset="0,.55556mm"/>
                      <o:lock v:ext="edit" shapetype="f"/>
                    </v:line>
                  </w:pict>
                </mc:Fallback>
              </mc:AlternateContent>
            </w:r>
          </w:p>
          <w:p w:rsidR="0054199C" w:rsidRDefault="0054199C" w:rsidP="0054199C">
            <w:pPr>
              <w:ind w:left="380"/>
              <w:rPr>
                <w:rFonts w:cs="Arial"/>
                <w:sz w:val="24"/>
                <w:szCs w:val="24"/>
              </w:rPr>
            </w:pPr>
          </w:p>
          <w:p w:rsidR="0054199C" w:rsidRPr="00AD3534" w:rsidRDefault="0054199C" w:rsidP="0054199C">
            <w:pPr>
              <w:ind w:left="380"/>
              <w:rPr>
                <w:rFonts w:cs="Arial"/>
                <w:sz w:val="24"/>
                <w:szCs w:val="24"/>
              </w:rPr>
            </w:pPr>
            <w:r w:rsidRPr="00AD3534">
              <w:rPr>
                <w:rFonts w:cs="Arial"/>
                <w:sz w:val="24"/>
                <w:szCs w:val="24"/>
              </w:rPr>
              <w:t>Prepared by:</w:t>
            </w:r>
          </w:p>
          <w:p w:rsidR="0054199C" w:rsidRPr="00AD3534" w:rsidRDefault="0054199C" w:rsidP="0054199C">
            <w:pPr>
              <w:ind w:left="380"/>
              <w:rPr>
                <w:rFonts w:cs="Arial"/>
                <w:sz w:val="24"/>
                <w:szCs w:val="24"/>
              </w:rPr>
            </w:pPr>
            <w:r w:rsidRPr="00AD3534">
              <w:rPr>
                <w:rFonts w:cs="Arial"/>
                <w:sz w:val="24"/>
                <w:szCs w:val="24"/>
              </w:rPr>
              <w:t>Development Bank of Southern Africa (DBSA)</w:t>
            </w:r>
          </w:p>
          <w:p w:rsidR="0054199C" w:rsidRPr="00AD3534" w:rsidRDefault="0054199C" w:rsidP="0054199C">
            <w:pPr>
              <w:ind w:left="380"/>
              <w:rPr>
                <w:rFonts w:cs="Arial"/>
                <w:sz w:val="24"/>
                <w:szCs w:val="24"/>
              </w:rPr>
            </w:pPr>
            <w:r w:rsidRPr="00AD3534">
              <w:rPr>
                <w:rFonts w:cs="Arial"/>
                <w:sz w:val="24"/>
                <w:szCs w:val="24"/>
              </w:rPr>
              <w:t>Infrastructure Delivery Division</w:t>
            </w:r>
          </w:p>
          <w:p w:rsidR="0054199C" w:rsidRPr="00AD3534" w:rsidRDefault="0054199C" w:rsidP="0054199C">
            <w:pPr>
              <w:ind w:left="380"/>
              <w:rPr>
                <w:rFonts w:cs="Arial"/>
                <w:sz w:val="24"/>
                <w:szCs w:val="24"/>
              </w:rPr>
            </w:pPr>
            <w:r w:rsidRPr="00AD3534">
              <w:rPr>
                <w:rFonts w:cs="Arial"/>
                <w:sz w:val="24"/>
                <w:szCs w:val="24"/>
              </w:rPr>
              <w:t>PO Box 1234</w:t>
            </w:r>
          </w:p>
          <w:p w:rsidR="0054199C" w:rsidRPr="00AD3534" w:rsidRDefault="0054199C" w:rsidP="0054199C">
            <w:pPr>
              <w:ind w:left="380"/>
              <w:rPr>
                <w:rFonts w:cs="Arial"/>
                <w:sz w:val="24"/>
                <w:szCs w:val="24"/>
              </w:rPr>
            </w:pPr>
            <w:r w:rsidRPr="00AD3534">
              <w:rPr>
                <w:rFonts w:cs="Arial"/>
                <w:sz w:val="24"/>
                <w:szCs w:val="24"/>
              </w:rPr>
              <w:t>Halfway House</w:t>
            </w:r>
          </w:p>
          <w:p w:rsidR="0054199C" w:rsidRPr="00AD3534" w:rsidRDefault="0054199C" w:rsidP="0054199C">
            <w:pPr>
              <w:ind w:left="380"/>
              <w:rPr>
                <w:rFonts w:cs="Arial"/>
                <w:sz w:val="24"/>
                <w:szCs w:val="24"/>
              </w:rPr>
            </w:pPr>
            <w:r w:rsidRPr="00AD3534">
              <w:rPr>
                <w:rFonts w:cs="Arial"/>
                <w:sz w:val="24"/>
                <w:szCs w:val="24"/>
              </w:rPr>
              <w:t>Midrand</w:t>
            </w:r>
          </w:p>
          <w:p w:rsidR="0054199C" w:rsidRPr="00AD3534" w:rsidRDefault="0054199C" w:rsidP="0054199C">
            <w:pPr>
              <w:ind w:left="380"/>
              <w:rPr>
                <w:rFonts w:cs="Arial"/>
                <w:sz w:val="24"/>
                <w:szCs w:val="24"/>
              </w:rPr>
            </w:pPr>
            <w:r w:rsidRPr="00AD3534">
              <w:rPr>
                <w:rFonts w:cs="Arial"/>
                <w:sz w:val="24"/>
                <w:szCs w:val="24"/>
              </w:rPr>
              <w:t>1685</w:t>
            </w:r>
          </w:p>
          <w:p w:rsidR="0054199C" w:rsidRPr="00AD3534" w:rsidRDefault="0054199C" w:rsidP="0054199C">
            <w:pPr>
              <w:ind w:left="380"/>
              <w:rPr>
                <w:rFonts w:cs="Arial"/>
                <w:sz w:val="24"/>
                <w:szCs w:val="24"/>
              </w:rPr>
            </w:pPr>
          </w:p>
          <w:p w:rsidR="0054199C" w:rsidRPr="00AD3534" w:rsidRDefault="004872B5" w:rsidP="0054199C">
            <w:pPr>
              <w:ind w:left="380"/>
              <w:rPr>
                <w:rFonts w:cs="Arial"/>
                <w:b/>
                <w:sz w:val="24"/>
                <w:szCs w:val="24"/>
              </w:rPr>
            </w:pPr>
            <w:r>
              <w:rPr>
                <w:rFonts w:cs="Arial"/>
                <w:b/>
                <w:sz w:val="24"/>
                <w:szCs w:val="24"/>
              </w:rPr>
              <w:t>July</w:t>
            </w:r>
            <w:r w:rsidR="0054199C" w:rsidRPr="00AD3534">
              <w:rPr>
                <w:rFonts w:cs="Arial"/>
                <w:b/>
                <w:sz w:val="24"/>
                <w:szCs w:val="24"/>
              </w:rPr>
              <w:t xml:space="preserve"> 2016</w:t>
            </w:r>
          </w:p>
          <w:p w:rsidR="0054199C" w:rsidRPr="00AD3534" w:rsidRDefault="0054199C" w:rsidP="0054199C">
            <w:pPr>
              <w:rPr>
                <w:rFonts w:cs="Arial"/>
                <w:sz w:val="24"/>
                <w:szCs w:val="24"/>
              </w:rPr>
            </w:pPr>
          </w:p>
          <w:p w:rsidR="0054199C" w:rsidRPr="00AD3534" w:rsidRDefault="0054199C" w:rsidP="0054199C">
            <w:pPr>
              <w:rPr>
                <w:rFonts w:cs="Arial"/>
                <w:sz w:val="24"/>
                <w:szCs w:val="24"/>
              </w:rPr>
            </w:pPr>
          </w:p>
          <w:p w:rsidR="0054199C" w:rsidRPr="00AD3534" w:rsidRDefault="0054199C" w:rsidP="0054199C">
            <w:pPr>
              <w:rPr>
                <w:rFonts w:cs="Arial"/>
                <w:sz w:val="24"/>
                <w:szCs w:val="24"/>
              </w:rPr>
            </w:pPr>
          </w:p>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sz w:val="24"/>
                <w:szCs w:val="24"/>
              </w:rPr>
            </w:pPr>
          </w:p>
        </w:tc>
        <w:tc>
          <w:tcPr>
            <w:tcW w:w="5793" w:type="dxa"/>
          </w:tcPr>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noProof/>
                <w:sz w:val="24"/>
                <w:szCs w:val="24"/>
                <w:lang w:eastAsia="en-ZA"/>
              </w:rPr>
            </w:pPr>
          </w:p>
        </w:tc>
        <w:tc>
          <w:tcPr>
            <w:tcW w:w="5793" w:type="dxa"/>
          </w:tcPr>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sz w:val="24"/>
                <w:szCs w:val="24"/>
              </w:rPr>
            </w:pPr>
          </w:p>
        </w:tc>
        <w:tc>
          <w:tcPr>
            <w:tcW w:w="5793" w:type="dxa"/>
          </w:tcPr>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sz w:val="24"/>
                <w:szCs w:val="24"/>
              </w:rPr>
            </w:pPr>
          </w:p>
        </w:tc>
        <w:tc>
          <w:tcPr>
            <w:tcW w:w="5793" w:type="dxa"/>
          </w:tcPr>
          <w:p w:rsidR="0054199C" w:rsidRPr="00AD3534" w:rsidRDefault="0054199C" w:rsidP="0054199C">
            <w:pPr>
              <w:rPr>
                <w:rFonts w:cs="Arial"/>
                <w:sz w:val="24"/>
                <w:szCs w:val="24"/>
              </w:rPr>
            </w:pPr>
          </w:p>
        </w:tc>
      </w:tr>
      <w:tr w:rsidR="0054199C" w:rsidRPr="00AD3534" w:rsidTr="00FD0E7C">
        <w:tc>
          <w:tcPr>
            <w:tcW w:w="3126" w:type="dxa"/>
            <w:shd w:val="clear" w:color="auto" w:fill="auto"/>
          </w:tcPr>
          <w:p w:rsidR="0054199C" w:rsidRPr="00AD3534" w:rsidRDefault="0054199C" w:rsidP="0054199C">
            <w:pPr>
              <w:rPr>
                <w:rFonts w:cs="Arial"/>
                <w:sz w:val="24"/>
                <w:szCs w:val="24"/>
              </w:rPr>
            </w:pPr>
          </w:p>
        </w:tc>
        <w:tc>
          <w:tcPr>
            <w:tcW w:w="5793" w:type="dxa"/>
          </w:tcPr>
          <w:p w:rsidR="0054199C" w:rsidRPr="00AD3534" w:rsidRDefault="0054199C" w:rsidP="0054199C">
            <w:pPr>
              <w:rPr>
                <w:rFonts w:cs="Arial"/>
                <w:sz w:val="24"/>
                <w:szCs w:val="24"/>
              </w:rPr>
            </w:pPr>
          </w:p>
        </w:tc>
      </w:tr>
    </w:tbl>
    <w:p w:rsidR="0006569D" w:rsidRPr="0006569D" w:rsidRDefault="0006569D" w:rsidP="0006569D">
      <w:pPr>
        <w:rPr>
          <w:rFonts w:eastAsiaTheme="majorEastAsia"/>
        </w:rPr>
      </w:pPr>
    </w:p>
    <w:p w:rsidR="0006569D" w:rsidRPr="00A6363E" w:rsidRDefault="0006569D" w:rsidP="0006569D">
      <w:pPr>
        <w:pStyle w:val="zcontents"/>
        <w:rPr>
          <w:rFonts w:ascii="Arial" w:hAnsi="Arial" w:cs="Arial"/>
          <w:color w:val="000066"/>
          <w:sz w:val="28"/>
          <w:szCs w:val="28"/>
        </w:rPr>
      </w:pPr>
      <w:r w:rsidRPr="00A6363E">
        <w:rPr>
          <w:rFonts w:ascii="Arial" w:hAnsi="Arial" w:cs="Arial"/>
          <w:color w:val="000066"/>
          <w:sz w:val="28"/>
          <w:szCs w:val="28"/>
        </w:rPr>
        <w:t>Control Sheet</w:t>
      </w:r>
    </w:p>
    <w:p w:rsidR="0006569D" w:rsidRPr="00612B56" w:rsidRDefault="0006569D" w:rsidP="0006569D">
      <w:pPr>
        <w:rPr>
          <w:rFonts w:cs="Arial"/>
          <w:sz w:val="19"/>
          <w:szCs w:val="19"/>
        </w:rPr>
      </w:pP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r w:rsidRPr="00612B56">
        <w:rPr>
          <w:rFonts w:cs="Arial"/>
          <w:b/>
          <w:sz w:val="23"/>
          <w:szCs w:val="23"/>
        </w:rPr>
        <w:t>Title</w:t>
      </w:r>
      <w:r w:rsidRPr="00612B56">
        <w:rPr>
          <w:rFonts w:cs="Arial"/>
          <w:b/>
          <w:sz w:val="23"/>
          <w:szCs w:val="23"/>
        </w:rPr>
        <w:tab/>
      </w:r>
      <w:r w:rsidRPr="00612B56">
        <w:rPr>
          <w:rFonts w:cs="Arial"/>
          <w:b/>
          <w:sz w:val="23"/>
          <w:szCs w:val="23"/>
        </w:rPr>
        <w:tab/>
        <w:t xml:space="preserve">:  </w:t>
      </w:r>
      <w:r w:rsidR="008C4FAE">
        <w:rPr>
          <w:rFonts w:cs="Arial"/>
          <w:b/>
          <w:sz w:val="23"/>
          <w:szCs w:val="23"/>
        </w:rPr>
        <w:t>BEPPS Financial Evaluation</w:t>
      </w: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r w:rsidRPr="00612B56">
        <w:rPr>
          <w:rFonts w:cs="Arial"/>
          <w:b/>
          <w:sz w:val="23"/>
          <w:szCs w:val="23"/>
        </w:rPr>
        <w:t>Reference</w:t>
      </w:r>
      <w:r w:rsidRPr="00612B56">
        <w:rPr>
          <w:rFonts w:cs="Arial"/>
          <w:b/>
          <w:sz w:val="23"/>
          <w:szCs w:val="23"/>
        </w:rPr>
        <w:tab/>
        <w:t>:</w:t>
      </w:r>
      <w:r>
        <w:rPr>
          <w:rFonts w:cs="Arial"/>
          <w:b/>
          <w:sz w:val="23"/>
          <w:szCs w:val="23"/>
        </w:rPr>
        <w:t xml:space="preserve">  </w:t>
      </w:r>
      <w:r w:rsidR="008C4FAE">
        <w:rPr>
          <w:rFonts w:cs="Arial"/>
          <w:b/>
          <w:sz w:val="23"/>
          <w:szCs w:val="23"/>
        </w:rPr>
        <w:t>DBSA</w:t>
      </w: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r w:rsidRPr="00612B56">
        <w:rPr>
          <w:rFonts w:cs="Arial"/>
          <w:b/>
          <w:sz w:val="23"/>
          <w:szCs w:val="23"/>
        </w:rPr>
        <w:t>Revision No</w:t>
      </w:r>
      <w:r w:rsidRPr="00612B56">
        <w:rPr>
          <w:rFonts w:cs="Arial"/>
          <w:b/>
          <w:sz w:val="23"/>
          <w:szCs w:val="23"/>
        </w:rPr>
        <w:tab/>
        <w:t xml:space="preserve">:  </w:t>
      </w: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b/>
          <w:sz w:val="23"/>
          <w:szCs w:val="23"/>
        </w:rPr>
      </w:pPr>
    </w:p>
    <w:p w:rsidR="0006569D" w:rsidRPr="00612B56" w:rsidRDefault="0006569D" w:rsidP="0006569D">
      <w:pPr>
        <w:pBdr>
          <w:top w:val="thickThinSmallGap" w:sz="24" w:space="1" w:color="auto"/>
          <w:left w:val="thickThinSmallGap" w:sz="24" w:space="0" w:color="auto"/>
          <w:bottom w:val="thinThickSmallGap" w:sz="24" w:space="1" w:color="auto"/>
          <w:right w:val="thinThickSmallGap" w:sz="24" w:space="4" w:color="auto"/>
        </w:pBdr>
        <w:rPr>
          <w:rFonts w:cs="Arial"/>
          <w:sz w:val="23"/>
          <w:szCs w:val="23"/>
        </w:rPr>
      </w:pPr>
      <w:r w:rsidRPr="00612B56">
        <w:rPr>
          <w:rFonts w:cs="Arial"/>
          <w:b/>
          <w:sz w:val="23"/>
          <w:szCs w:val="23"/>
        </w:rPr>
        <w:t>Date</w:t>
      </w:r>
      <w:r w:rsidRPr="00612B56">
        <w:rPr>
          <w:rFonts w:cs="Arial"/>
          <w:b/>
          <w:sz w:val="23"/>
          <w:szCs w:val="23"/>
        </w:rPr>
        <w:tab/>
      </w:r>
      <w:r w:rsidRPr="00612B56">
        <w:rPr>
          <w:rFonts w:cs="Arial"/>
          <w:b/>
          <w:sz w:val="23"/>
          <w:szCs w:val="23"/>
        </w:rPr>
        <w:tab/>
      </w:r>
      <w:r w:rsidRPr="00612B56">
        <w:rPr>
          <w:rFonts w:cs="Arial"/>
          <w:sz w:val="23"/>
          <w:szCs w:val="23"/>
        </w:rPr>
        <w:t xml:space="preserve">:  </w:t>
      </w:r>
    </w:p>
    <w:p w:rsidR="0006569D" w:rsidRPr="00612B56" w:rsidRDefault="0006569D" w:rsidP="0006569D">
      <w:pPr>
        <w:rPr>
          <w:rFonts w:cs="Arial"/>
          <w:sz w:val="23"/>
          <w:szCs w:val="23"/>
        </w:rPr>
      </w:pPr>
    </w:p>
    <w:p w:rsidR="0006569D" w:rsidRPr="00612B56" w:rsidRDefault="0006569D" w:rsidP="0006569D">
      <w:pPr>
        <w:rPr>
          <w:rFonts w:cs="Arial"/>
          <w:sz w:val="19"/>
          <w:szCs w:val="19"/>
        </w:rPr>
      </w:pPr>
    </w:p>
    <w:p w:rsidR="0006569D" w:rsidRPr="00612B56" w:rsidRDefault="0006569D" w:rsidP="0006569D">
      <w:pPr>
        <w:rPr>
          <w:rFonts w:cs="Arial"/>
          <w:sz w:val="23"/>
          <w:szCs w:val="23"/>
        </w:rPr>
      </w:pPr>
    </w:p>
    <w:p w:rsidR="0006569D" w:rsidRPr="00A6363E" w:rsidRDefault="0006569D" w:rsidP="0006569D">
      <w:pPr>
        <w:pStyle w:val="zcontents"/>
        <w:rPr>
          <w:rFonts w:ascii="Arial" w:hAnsi="Arial" w:cs="Arial"/>
          <w:color w:val="000066"/>
          <w:sz w:val="28"/>
          <w:szCs w:val="28"/>
        </w:rPr>
      </w:pPr>
      <w:r w:rsidRPr="00A6363E">
        <w:rPr>
          <w:rFonts w:ascii="Arial" w:hAnsi="Arial" w:cs="Arial"/>
          <w:color w:val="000066"/>
          <w:sz w:val="28"/>
          <w:szCs w:val="28"/>
        </w:rPr>
        <w:t>Revision History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2080"/>
        <w:gridCol w:w="3024"/>
        <w:gridCol w:w="3088"/>
      </w:tblGrid>
      <w:tr w:rsidR="0006569D" w:rsidRPr="00757F7C" w:rsidTr="0078093B">
        <w:tc>
          <w:tcPr>
            <w:tcW w:w="695" w:type="pct"/>
            <w:shd w:val="clear" w:color="auto" w:fill="D9D9D9"/>
          </w:tcPr>
          <w:p w:rsidR="0006569D" w:rsidRPr="00757F7C" w:rsidRDefault="0006569D" w:rsidP="0078093B">
            <w:pPr>
              <w:spacing w:before="120" w:after="120"/>
              <w:rPr>
                <w:rFonts w:cs="Arial"/>
                <w:b/>
                <w:sz w:val="23"/>
                <w:szCs w:val="23"/>
              </w:rPr>
            </w:pPr>
            <w:r w:rsidRPr="00757F7C">
              <w:rPr>
                <w:rFonts w:cs="Arial"/>
                <w:b/>
                <w:sz w:val="23"/>
                <w:szCs w:val="23"/>
              </w:rPr>
              <w:t>Version</w:t>
            </w:r>
          </w:p>
        </w:tc>
        <w:tc>
          <w:tcPr>
            <w:tcW w:w="1093" w:type="pct"/>
            <w:shd w:val="clear" w:color="auto" w:fill="D9D9D9"/>
          </w:tcPr>
          <w:p w:rsidR="0006569D" w:rsidRPr="00757F7C" w:rsidRDefault="0006569D" w:rsidP="0078093B">
            <w:pPr>
              <w:spacing w:before="120" w:after="120"/>
              <w:rPr>
                <w:rFonts w:cs="Arial"/>
                <w:b/>
                <w:sz w:val="23"/>
                <w:szCs w:val="23"/>
              </w:rPr>
            </w:pPr>
            <w:r w:rsidRPr="00757F7C">
              <w:rPr>
                <w:rFonts w:cs="Arial"/>
                <w:b/>
                <w:sz w:val="23"/>
                <w:szCs w:val="23"/>
              </w:rPr>
              <w:t>Revision Date</w:t>
            </w:r>
          </w:p>
        </w:tc>
        <w:tc>
          <w:tcPr>
            <w:tcW w:w="1589" w:type="pct"/>
            <w:shd w:val="clear" w:color="auto" w:fill="D9D9D9"/>
          </w:tcPr>
          <w:p w:rsidR="0006569D" w:rsidRDefault="0006569D" w:rsidP="0078093B">
            <w:pPr>
              <w:spacing w:before="120" w:after="120"/>
              <w:rPr>
                <w:rFonts w:cs="Arial"/>
                <w:b/>
                <w:sz w:val="23"/>
                <w:szCs w:val="23"/>
              </w:rPr>
            </w:pPr>
            <w:r>
              <w:rPr>
                <w:rFonts w:cs="Arial"/>
                <w:b/>
                <w:sz w:val="23"/>
                <w:szCs w:val="23"/>
              </w:rPr>
              <w:t>Change Summary</w:t>
            </w:r>
          </w:p>
        </w:tc>
        <w:tc>
          <w:tcPr>
            <w:tcW w:w="1623" w:type="pct"/>
            <w:shd w:val="clear" w:color="auto" w:fill="D9D9D9"/>
          </w:tcPr>
          <w:p w:rsidR="0006569D" w:rsidRPr="00757F7C" w:rsidRDefault="0006569D" w:rsidP="0078093B">
            <w:pPr>
              <w:spacing w:before="120" w:after="120"/>
              <w:rPr>
                <w:rFonts w:cs="Arial"/>
                <w:b/>
                <w:sz w:val="23"/>
                <w:szCs w:val="23"/>
              </w:rPr>
            </w:pPr>
            <w:r>
              <w:rPr>
                <w:rFonts w:cs="Arial"/>
                <w:b/>
                <w:sz w:val="23"/>
                <w:szCs w:val="23"/>
              </w:rPr>
              <w:t>Prepared by</w:t>
            </w:r>
          </w:p>
        </w:tc>
      </w:tr>
      <w:tr w:rsidR="0006569D" w:rsidRPr="00757F7C" w:rsidTr="0078093B">
        <w:tc>
          <w:tcPr>
            <w:tcW w:w="695" w:type="pct"/>
          </w:tcPr>
          <w:p w:rsidR="0006569D" w:rsidRPr="00757F7C" w:rsidRDefault="0006569D" w:rsidP="0078093B">
            <w:pPr>
              <w:spacing w:before="120" w:after="120"/>
              <w:rPr>
                <w:rFonts w:cs="Arial"/>
              </w:rPr>
            </w:pPr>
          </w:p>
        </w:tc>
        <w:tc>
          <w:tcPr>
            <w:tcW w:w="1093" w:type="pct"/>
          </w:tcPr>
          <w:p w:rsidR="0006569D" w:rsidRPr="00757F7C" w:rsidRDefault="0006569D" w:rsidP="0078093B">
            <w:pPr>
              <w:spacing w:before="120" w:after="120"/>
              <w:rPr>
                <w:rFonts w:cs="Arial"/>
              </w:rPr>
            </w:pPr>
          </w:p>
        </w:tc>
        <w:tc>
          <w:tcPr>
            <w:tcW w:w="1589" w:type="pct"/>
          </w:tcPr>
          <w:p w:rsidR="0006569D" w:rsidRPr="00757F7C" w:rsidRDefault="0006569D" w:rsidP="0078093B">
            <w:pPr>
              <w:spacing w:before="120" w:after="120"/>
              <w:rPr>
                <w:rFonts w:cs="Arial"/>
              </w:rPr>
            </w:pPr>
          </w:p>
        </w:tc>
        <w:tc>
          <w:tcPr>
            <w:tcW w:w="1623" w:type="pct"/>
          </w:tcPr>
          <w:p w:rsidR="0006569D" w:rsidRPr="00757F7C" w:rsidRDefault="0006569D" w:rsidP="0078093B">
            <w:pPr>
              <w:spacing w:before="120" w:after="120"/>
              <w:rPr>
                <w:rFonts w:cs="Arial"/>
              </w:rPr>
            </w:pPr>
          </w:p>
        </w:tc>
      </w:tr>
      <w:tr w:rsidR="0006569D" w:rsidRPr="00757F7C" w:rsidTr="0078093B">
        <w:tc>
          <w:tcPr>
            <w:tcW w:w="695" w:type="pct"/>
          </w:tcPr>
          <w:p w:rsidR="0006569D" w:rsidRPr="00757F7C" w:rsidRDefault="0006569D" w:rsidP="0078093B">
            <w:pPr>
              <w:spacing w:before="120" w:after="120"/>
              <w:rPr>
                <w:rFonts w:cs="Arial"/>
              </w:rPr>
            </w:pPr>
          </w:p>
        </w:tc>
        <w:tc>
          <w:tcPr>
            <w:tcW w:w="1093" w:type="pct"/>
          </w:tcPr>
          <w:p w:rsidR="0006569D" w:rsidRPr="00757F7C" w:rsidRDefault="0006569D" w:rsidP="0078093B">
            <w:pPr>
              <w:spacing w:before="120" w:after="120"/>
              <w:rPr>
                <w:rFonts w:cs="Arial"/>
              </w:rPr>
            </w:pPr>
          </w:p>
        </w:tc>
        <w:tc>
          <w:tcPr>
            <w:tcW w:w="1589" w:type="pct"/>
          </w:tcPr>
          <w:p w:rsidR="0006569D" w:rsidRPr="00757F7C" w:rsidRDefault="0006569D" w:rsidP="0078093B">
            <w:pPr>
              <w:spacing w:before="120" w:after="120"/>
              <w:rPr>
                <w:rFonts w:cs="Arial"/>
              </w:rPr>
            </w:pPr>
          </w:p>
        </w:tc>
        <w:tc>
          <w:tcPr>
            <w:tcW w:w="1623" w:type="pct"/>
          </w:tcPr>
          <w:p w:rsidR="0006569D" w:rsidRPr="00757F7C" w:rsidRDefault="0006569D" w:rsidP="0078093B">
            <w:pPr>
              <w:spacing w:before="120" w:after="120"/>
              <w:rPr>
                <w:rFonts w:cs="Arial"/>
              </w:rPr>
            </w:pPr>
          </w:p>
        </w:tc>
      </w:tr>
      <w:tr w:rsidR="0006569D" w:rsidRPr="00757F7C" w:rsidTr="0078093B">
        <w:tc>
          <w:tcPr>
            <w:tcW w:w="695" w:type="pct"/>
          </w:tcPr>
          <w:p w:rsidR="0006569D" w:rsidRPr="00757F7C" w:rsidRDefault="0006569D" w:rsidP="0078093B">
            <w:pPr>
              <w:spacing w:before="120" w:after="120"/>
              <w:rPr>
                <w:rFonts w:cs="Arial"/>
              </w:rPr>
            </w:pPr>
          </w:p>
        </w:tc>
        <w:tc>
          <w:tcPr>
            <w:tcW w:w="1093" w:type="pct"/>
          </w:tcPr>
          <w:p w:rsidR="0006569D" w:rsidRPr="00757F7C" w:rsidRDefault="0006569D" w:rsidP="0078093B">
            <w:pPr>
              <w:spacing w:before="120" w:after="120"/>
              <w:rPr>
                <w:rFonts w:cs="Arial"/>
              </w:rPr>
            </w:pPr>
          </w:p>
        </w:tc>
        <w:tc>
          <w:tcPr>
            <w:tcW w:w="1589" w:type="pct"/>
          </w:tcPr>
          <w:p w:rsidR="0006569D" w:rsidRPr="00757F7C" w:rsidRDefault="0006569D" w:rsidP="0078093B">
            <w:pPr>
              <w:spacing w:before="120" w:after="120"/>
              <w:rPr>
                <w:rFonts w:cs="Arial"/>
              </w:rPr>
            </w:pPr>
          </w:p>
        </w:tc>
        <w:tc>
          <w:tcPr>
            <w:tcW w:w="1623" w:type="pct"/>
          </w:tcPr>
          <w:p w:rsidR="0006569D" w:rsidRPr="00757F7C" w:rsidRDefault="0006569D" w:rsidP="0078093B">
            <w:pPr>
              <w:spacing w:before="120" w:after="120"/>
              <w:rPr>
                <w:rFonts w:cs="Arial"/>
              </w:rPr>
            </w:pPr>
          </w:p>
        </w:tc>
      </w:tr>
      <w:tr w:rsidR="0006569D" w:rsidRPr="00757F7C" w:rsidTr="0078093B">
        <w:tc>
          <w:tcPr>
            <w:tcW w:w="695" w:type="pct"/>
          </w:tcPr>
          <w:p w:rsidR="0006569D" w:rsidRPr="00757F7C" w:rsidRDefault="0006569D" w:rsidP="0078093B">
            <w:pPr>
              <w:spacing w:before="120" w:after="120"/>
              <w:rPr>
                <w:rFonts w:cs="Arial"/>
              </w:rPr>
            </w:pPr>
          </w:p>
        </w:tc>
        <w:tc>
          <w:tcPr>
            <w:tcW w:w="1093" w:type="pct"/>
          </w:tcPr>
          <w:p w:rsidR="0006569D" w:rsidRPr="00757F7C" w:rsidRDefault="0006569D" w:rsidP="0078093B">
            <w:pPr>
              <w:spacing w:before="120" w:after="120"/>
              <w:rPr>
                <w:rFonts w:cs="Arial"/>
              </w:rPr>
            </w:pPr>
          </w:p>
        </w:tc>
        <w:tc>
          <w:tcPr>
            <w:tcW w:w="1589" w:type="pct"/>
          </w:tcPr>
          <w:p w:rsidR="0006569D" w:rsidRPr="00757F7C" w:rsidRDefault="0006569D" w:rsidP="0078093B">
            <w:pPr>
              <w:spacing w:before="120" w:after="120"/>
              <w:rPr>
                <w:rFonts w:cs="Arial"/>
              </w:rPr>
            </w:pPr>
          </w:p>
        </w:tc>
        <w:tc>
          <w:tcPr>
            <w:tcW w:w="1623" w:type="pct"/>
          </w:tcPr>
          <w:p w:rsidR="0006569D" w:rsidRPr="00757F7C" w:rsidRDefault="0006569D" w:rsidP="0078093B">
            <w:pPr>
              <w:spacing w:before="120" w:after="120"/>
              <w:rPr>
                <w:rFonts w:cs="Arial"/>
              </w:rPr>
            </w:pPr>
          </w:p>
        </w:tc>
      </w:tr>
    </w:tbl>
    <w:p w:rsidR="005B49FD" w:rsidRDefault="005B49FD" w:rsidP="0006569D">
      <w:pPr>
        <w:rPr>
          <w:sz w:val="19"/>
          <w:szCs w:val="19"/>
        </w:rPr>
      </w:pPr>
    </w:p>
    <w:p w:rsidR="005B49FD" w:rsidRDefault="005B49FD">
      <w:pPr>
        <w:spacing w:after="200" w:line="276" w:lineRule="auto"/>
        <w:jc w:val="left"/>
        <w:rPr>
          <w:sz w:val="19"/>
          <w:szCs w:val="19"/>
        </w:rPr>
      </w:pPr>
      <w:r>
        <w:rPr>
          <w:sz w:val="19"/>
          <w:szCs w:val="19"/>
        </w:rPr>
        <w:br w:type="page"/>
      </w:r>
    </w:p>
    <w:sdt>
      <w:sdtPr>
        <w:rPr>
          <w:rFonts w:ascii="Arial" w:hAnsi="Arial" w:cs="Times New Roman"/>
          <w:b w:val="0"/>
          <w:bCs w:val="0"/>
          <w:i w:val="0"/>
          <w:color w:val="auto"/>
          <w:sz w:val="22"/>
          <w:szCs w:val="20"/>
          <w:lang w:val="en-ZA" w:eastAsia="en-US"/>
        </w:rPr>
        <w:id w:val="-1029025415"/>
        <w:docPartObj>
          <w:docPartGallery w:val="Table of Contents"/>
          <w:docPartUnique/>
        </w:docPartObj>
      </w:sdtPr>
      <w:sdtEndPr>
        <w:rPr>
          <w:noProof/>
        </w:rPr>
      </w:sdtEndPr>
      <w:sdtContent>
        <w:p w:rsidR="00C75AC0" w:rsidRDefault="00C75AC0">
          <w:pPr>
            <w:pStyle w:val="TOCHeading"/>
          </w:pPr>
          <w:r>
            <w:t>Table of Contents</w:t>
          </w:r>
        </w:p>
        <w:p w:rsidR="0086106E" w:rsidRDefault="00C75AC0">
          <w:pPr>
            <w:pStyle w:val="TOC3"/>
            <w:rPr>
              <w:rFonts w:eastAsiaTheme="minorEastAsia" w:cstheme="minorBidi"/>
              <w:sz w:val="22"/>
              <w:szCs w:val="22"/>
              <w:lang w:eastAsia="en-ZA"/>
            </w:rPr>
          </w:pPr>
          <w:r>
            <w:fldChar w:fldCharType="begin"/>
          </w:r>
          <w:r>
            <w:instrText xml:space="preserve"> TOC \o "1-3" \h \z \u </w:instrText>
          </w:r>
          <w:r>
            <w:fldChar w:fldCharType="separate"/>
          </w:r>
          <w:hyperlink w:anchor="_Toc455995456" w:history="1">
            <w:r w:rsidR="0086106E" w:rsidRPr="00B61A0D">
              <w:rPr>
                <w:rStyle w:val="Hyperlink"/>
              </w:rPr>
              <w:t>1.</w:t>
            </w:r>
            <w:r w:rsidR="0086106E">
              <w:rPr>
                <w:rFonts w:eastAsiaTheme="minorEastAsia" w:cstheme="minorBidi"/>
                <w:sz w:val="22"/>
                <w:szCs w:val="22"/>
                <w:lang w:eastAsia="en-ZA"/>
              </w:rPr>
              <w:tab/>
            </w:r>
            <w:r w:rsidR="0086106E" w:rsidRPr="00B61A0D">
              <w:rPr>
                <w:rStyle w:val="Hyperlink"/>
              </w:rPr>
              <w:t>Introduction</w:t>
            </w:r>
            <w:r w:rsidR="0086106E">
              <w:rPr>
                <w:webHidden/>
              </w:rPr>
              <w:tab/>
            </w:r>
            <w:r w:rsidR="0086106E">
              <w:rPr>
                <w:webHidden/>
              </w:rPr>
              <w:fldChar w:fldCharType="begin"/>
            </w:r>
            <w:r w:rsidR="0086106E">
              <w:rPr>
                <w:webHidden/>
              </w:rPr>
              <w:instrText xml:space="preserve"> PAGEREF _Toc455995456 \h </w:instrText>
            </w:r>
            <w:r w:rsidR="0086106E">
              <w:rPr>
                <w:webHidden/>
              </w:rPr>
            </w:r>
            <w:r w:rsidR="0086106E">
              <w:rPr>
                <w:webHidden/>
              </w:rPr>
              <w:fldChar w:fldCharType="separate"/>
            </w:r>
            <w:r w:rsidR="00913A52">
              <w:rPr>
                <w:webHidden/>
              </w:rPr>
              <w:t>4</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57" w:history="1">
            <w:r w:rsidR="0086106E" w:rsidRPr="00B61A0D">
              <w:rPr>
                <w:rStyle w:val="Hyperlink"/>
              </w:rPr>
              <w:t>i.</w:t>
            </w:r>
            <w:r w:rsidR="0086106E">
              <w:rPr>
                <w:rFonts w:eastAsiaTheme="minorEastAsia" w:cstheme="minorBidi"/>
                <w:sz w:val="22"/>
                <w:szCs w:val="22"/>
                <w:lang w:eastAsia="en-ZA"/>
              </w:rPr>
              <w:tab/>
            </w:r>
            <w:r w:rsidR="0086106E" w:rsidRPr="00B61A0D">
              <w:rPr>
                <w:rStyle w:val="Hyperlink"/>
              </w:rPr>
              <w:t>Background</w:t>
            </w:r>
            <w:r w:rsidR="0086106E">
              <w:rPr>
                <w:webHidden/>
              </w:rPr>
              <w:tab/>
            </w:r>
            <w:r w:rsidR="0086106E">
              <w:rPr>
                <w:webHidden/>
              </w:rPr>
              <w:fldChar w:fldCharType="begin"/>
            </w:r>
            <w:r w:rsidR="0086106E">
              <w:rPr>
                <w:webHidden/>
              </w:rPr>
              <w:instrText xml:space="preserve"> PAGEREF _Toc455995457 \h </w:instrText>
            </w:r>
            <w:r w:rsidR="0086106E">
              <w:rPr>
                <w:webHidden/>
              </w:rPr>
            </w:r>
            <w:r w:rsidR="0086106E">
              <w:rPr>
                <w:webHidden/>
              </w:rPr>
              <w:fldChar w:fldCharType="separate"/>
            </w:r>
            <w:r w:rsidR="00913A52">
              <w:rPr>
                <w:webHidden/>
              </w:rPr>
              <w:t>4</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58" w:history="1">
            <w:r w:rsidR="0086106E" w:rsidRPr="00B61A0D">
              <w:rPr>
                <w:rStyle w:val="Hyperlink"/>
              </w:rPr>
              <w:t>ii.</w:t>
            </w:r>
            <w:r w:rsidR="0086106E">
              <w:rPr>
                <w:rFonts w:eastAsiaTheme="minorEastAsia" w:cstheme="minorBidi"/>
                <w:sz w:val="22"/>
                <w:szCs w:val="22"/>
                <w:lang w:eastAsia="en-ZA"/>
              </w:rPr>
              <w:tab/>
            </w:r>
            <w:r w:rsidR="0086106E" w:rsidRPr="00B61A0D">
              <w:rPr>
                <w:rStyle w:val="Hyperlink"/>
              </w:rPr>
              <w:t>Problem Statement</w:t>
            </w:r>
            <w:r w:rsidR="0086106E">
              <w:rPr>
                <w:webHidden/>
              </w:rPr>
              <w:tab/>
            </w:r>
            <w:r w:rsidR="0086106E">
              <w:rPr>
                <w:webHidden/>
              </w:rPr>
              <w:fldChar w:fldCharType="begin"/>
            </w:r>
            <w:r w:rsidR="0086106E">
              <w:rPr>
                <w:webHidden/>
              </w:rPr>
              <w:instrText xml:space="preserve"> PAGEREF _Toc455995458 \h </w:instrText>
            </w:r>
            <w:r w:rsidR="0086106E">
              <w:rPr>
                <w:webHidden/>
              </w:rPr>
            </w:r>
            <w:r w:rsidR="0086106E">
              <w:rPr>
                <w:webHidden/>
              </w:rPr>
              <w:fldChar w:fldCharType="separate"/>
            </w:r>
            <w:r w:rsidR="00913A52">
              <w:rPr>
                <w:webHidden/>
              </w:rPr>
              <w:t>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59" w:history="1">
            <w:r w:rsidR="0086106E" w:rsidRPr="00B61A0D">
              <w:rPr>
                <w:rStyle w:val="Hyperlink"/>
              </w:rPr>
              <w:t>iii.</w:t>
            </w:r>
            <w:r w:rsidR="0086106E">
              <w:rPr>
                <w:rFonts w:eastAsiaTheme="minorEastAsia" w:cstheme="minorBidi"/>
                <w:sz w:val="22"/>
                <w:szCs w:val="22"/>
                <w:lang w:eastAsia="en-ZA"/>
              </w:rPr>
              <w:tab/>
            </w:r>
            <w:r w:rsidR="0086106E" w:rsidRPr="00B61A0D">
              <w:rPr>
                <w:rStyle w:val="Hyperlink"/>
              </w:rPr>
              <w:t>Objectives</w:t>
            </w:r>
            <w:r w:rsidR="0086106E">
              <w:rPr>
                <w:webHidden/>
              </w:rPr>
              <w:tab/>
            </w:r>
            <w:r w:rsidR="0086106E">
              <w:rPr>
                <w:webHidden/>
              </w:rPr>
              <w:fldChar w:fldCharType="begin"/>
            </w:r>
            <w:r w:rsidR="0086106E">
              <w:rPr>
                <w:webHidden/>
              </w:rPr>
              <w:instrText xml:space="preserve"> PAGEREF _Toc455995459 \h </w:instrText>
            </w:r>
            <w:r w:rsidR="0086106E">
              <w:rPr>
                <w:webHidden/>
              </w:rPr>
            </w:r>
            <w:r w:rsidR="0086106E">
              <w:rPr>
                <w:webHidden/>
              </w:rPr>
              <w:fldChar w:fldCharType="separate"/>
            </w:r>
            <w:r w:rsidR="00913A52">
              <w:rPr>
                <w:webHidden/>
              </w:rPr>
              <w:t>7</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0" w:history="1">
            <w:r w:rsidR="0086106E" w:rsidRPr="00B61A0D">
              <w:rPr>
                <w:rStyle w:val="Hyperlink"/>
              </w:rPr>
              <w:t>iv.</w:t>
            </w:r>
            <w:r w:rsidR="0086106E">
              <w:rPr>
                <w:rFonts w:eastAsiaTheme="minorEastAsia" w:cstheme="minorBidi"/>
                <w:sz w:val="22"/>
                <w:szCs w:val="22"/>
                <w:lang w:eastAsia="en-ZA"/>
              </w:rPr>
              <w:tab/>
            </w:r>
            <w:r w:rsidR="0086106E" w:rsidRPr="00B61A0D">
              <w:rPr>
                <w:rStyle w:val="Hyperlink"/>
              </w:rPr>
              <w:t>Scope</w:t>
            </w:r>
            <w:r w:rsidR="0086106E">
              <w:rPr>
                <w:webHidden/>
              </w:rPr>
              <w:tab/>
            </w:r>
            <w:r w:rsidR="0086106E">
              <w:rPr>
                <w:webHidden/>
              </w:rPr>
              <w:fldChar w:fldCharType="begin"/>
            </w:r>
            <w:r w:rsidR="0086106E">
              <w:rPr>
                <w:webHidden/>
              </w:rPr>
              <w:instrText xml:space="preserve"> PAGEREF _Toc455995460 \h </w:instrText>
            </w:r>
            <w:r w:rsidR="0086106E">
              <w:rPr>
                <w:webHidden/>
              </w:rPr>
            </w:r>
            <w:r w:rsidR="0086106E">
              <w:rPr>
                <w:webHidden/>
              </w:rPr>
              <w:fldChar w:fldCharType="separate"/>
            </w:r>
            <w:r w:rsidR="00913A52">
              <w:rPr>
                <w:webHidden/>
              </w:rPr>
              <w:t>8</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1" w:history="1">
            <w:r w:rsidR="0086106E" w:rsidRPr="00B61A0D">
              <w:rPr>
                <w:rStyle w:val="Hyperlink"/>
              </w:rPr>
              <w:t>v.</w:t>
            </w:r>
            <w:r w:rsidR="0086106E">
              <w:rPr>
                <w:rFonts w:eastAsiaTheme="minorEastAsia" w:cstheme="minorBidi"/>
                <w:sz w:val="22"/>
                <w:szCs w:val="22"/>
                <w:lang w:eastAsia="en-ZA"/>
              </w:rPr>
              <w:tab/>
            </w:r>
            <w:r w:rsidR="0086106E" w:rsidRPr="00B61A0D">
              <w:rPr>
                <w:rStyle w:val="Hyperlink"/>
              </w:rPr>
              <w:t>Progressive model</w:t>
            </w:r>
            <w:r w:rsidR="0086106E">
              <w:rPr>
                <w:webHidden/>
              </w:rPr>
              <w:tab/>
            </w:r>
            <w:r w:rsidR="0086106E">
              <w:rPr>
                <w:webHidden/>
              </w:rPr>
              <w:fldChar w:fldCharType="begin"/>
            </w:r>
            <w:r w:rsidR="0086106E">
              <w:rPr>
                <w:webHidden/>
              </w:rPr>
              <w:instrText xml:space="preserve"> PAGEREF _Toc455995461 \h </w:instrText>
            </w:r>
            <w:r w:rsidR="0086106E">
              <w:rPr>
                <w:webHidden/>
              </w:rPr>
            </w:r>
            <w:r w:rsidR="0086106E">
              <w:rPr>
                <w:webHidden/>
              </w:rPr>
              <w:fldChar w:fldCharType="separate"/>
            </w:r>
            <w:r w:rsidR="00913A52">
              <w:rPr>
                <w:webHidden/>
              </w:rPr>
              <w:t>9</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2" w:history="1">
            <w:r w:rsidR="0086106E" w:rsidRPr="00B61A0D">
              <w:rPr>
                <w:rStyle w:val="Hyperlink"/>
              </w:rPr>
              <w:t>2.</w:t>
            </w:r>
            <w:r w:rsidR="0086106E">
              <w:rPr>
                <w:rFonts w:eastAsiaTheme="minorEastAsia" w:cstheme="minorBidi"/>
                <w:sz w:val="22"/>
                <w:szCs w:val="22"/>
                <w:lang w:eastAsia="en-ZA"/>
              </w:rPr>
              <w:tab/>
            </w:r>
            <w:r w:rsidR="0086106E" w:rsidRPr="00B61A0D">
              <w:rPr>
                <w:rStyle w:val="Hyperlink"/>
              </w:rPr>
              <w:t>Approach</w:t>
            </w:r>
            <w:r w:rsidR="0086106E">
              <w:rPr>
                <w:webHidden/>
              </w:rPr>
              <w:tab/>
            </w:r>
            <w:r w:rsidR="0086106E">
              <w:rPr>
                <w:webHidden/>
              </w:rPr>
              <w:fldChar w:fldCharType="begin"/>
            </w:r>
            <w:r w:rsidR="0086106E">
              <w:rPr>
                <w:webHidden/>
              </w:rPr>
              <w:instrText xml:space="preserve"> PAGEREF _Toc455995462 \h </w:instrText>
            </w:r>
            <w:r w:rsidR="0086106E">
              <w:rPr>
                <w:webHidden/>
              </w:rPr>
            </w:r>
            <w:r w:rsidR="0086106E">
              <w:rPr>
                <w:webHidden/>
              </w:rPr>
              <w:fldChar w:fldCharType="separate"/>
            </w:r>
            <w:r w:rsidR="00913A52">
              <w:rPr>
                <w:webHidden/>
              </w:rPr>
              <w:t>11</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3" w:history="1">
            <w:r w:rsidR="0086106E" w:rsidRPr="00B61A0D">
              <w:rPr>
                <w:rStyle w:val="Hyperlink"/>
              </w:rPr>
              <w:t>3.</w:t>
            </w:r>
            <w:r w:rsidR="0086106E">
              <w:rPr>
                <w:rFonts w:eastAsiaTheme="minorEastAsia" w:cstheme="minorBidi"/>
                <w:sz w:val="22"/>
                <w:szCs w:val="22"/>
                <w:lang w:eastAsia="en-ZA"/>
              </w:rPr>
              <w:tab/>
            </w:r>
            <w:r w:rsidR="0086106E" w:rsidRPr="00B61A0D">
              <w:rPr>
                <w:rStyle w:val="Hyperlink"/>
              </w:rPr>
              <w:t>Framework: Bankability and Finance-ability Criteria and Guidelines</w:t>
            </w:r>
            <w:r w:rsidR="0086106E">
              <w:rPr>
                <w:webHidden/>
              </w:rPr>
              <w:tab/>
            </w:r>
            <w:r w:rsidR="0086106E">
              <w:rPr>
                <w:webHidden/>
              </w:rPr>
              <w:fldChar w:fldCharType="begin"/>
            </w:r>
            <w:r w:rsidR="0086106E">
              <w:rPr>
                <w:webHidden/>
              </w:rPr>
              <w:instrText xml:space="preserve"> PAGEREF _Toc455995463 \h </w:instrText>
            </w:r>
            <w:r w:rsidR="0086106E">
              <w:rPr>
                <w:webHidden/>
              </w:rPr>
            </w:r>
            <w:r w:rsidR="0086106E">
              <w:rPr>
                <w:webHidden/>
              </w:rPr>
              <w:fldChar w:fldCharType="separate"/>
            </w:r>
            <w:r w:rsidR="00913A52">
              <w:rPr>
                <w:webHidden/>
              </w:rPr>
              <w:t>12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4" w:history="1">
            <w:r w:rsidR="0086106E" w:rsidRPr="00B61A0D">
              <w:rPr>
                <w:rStyle w:val="Hyperlink"/>
              </w:rPr>
              <w:t>3.1</w:t>
            </w:r>
            <w:r w:rsidR="0086106E">
              <w:rPr>
                <w:rFonts w:eastAsiaTheme="minorEastAsia" w:cstheme="minorBidi"/>
                <w:sz w:val="22"/>
                <w:szCs w:val="22"/>
                <w:lang w:eastAsia="en-ZA"/>
              </w:rPr>
              <w:tab/>
            </w:r>
            <w:r w:rsidR="0086106E" w:rsidRPr="00B61A0D">
              <w:rPr>
                <w:rStyle w:val="Hyperlink"/>
              </w:rPr>
              <w:t>Comprehensive Plans and Models</w:t>
            </w:r>
            <w:r w:rsidR="0086106E">
              <w:rPr>
                <w:webHidden/>
              </w:rPr>
              <w:tab/>
            </w:r>
            <w:r w:rsidR="0086106E">
              <w:rPr>
                <w:webHidden/>
              </w:rPr>
              <w:fldChar w:fldCharType="begin"/>
            </w:r>
            <w:r w:rsidR="0086106E">
              <w:rPr>
                <w:webHidden/>
              </w:rPr>
              <w:instrText xml:space="preserve"> PAGEREF _Toc455995464 \h </w:instrText>
            </w:r>
            <w:r w:rsidR="0086106E">
              <w:rPr>
                <w:webHidden/>
              </w:rPr>
            </w:r>
            <w:r w:rsidR="0086106E">
              <w:rPr>
                <w:webHidden/>
              </w:rPr>
              <w:fldChar w:fldCharType="separate"/>
            </w:r>
            <w:r w:rsidR="00913A52">
              <w:rPr>
                <w:webHidden/>
              </w:rPr>
              <w:t>12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5" w:history="1">
            <w:r w:rsidR="0086106E" w:rsidRPr="00B61A0D">
              <w:rPr>
                <w:rStyle w:val="Hyperlink"/>
              </w:rPr>
              <w:t>3.2</w:t>
            </w:r>
            <w:r w:rsidR="0086106E">
              <w:rPr>
                <w:rFonts w:eastAsiaTheme="minorEastAsia" w:cstheme="minorBidi"/>
                <w:sz w:val="22"/>
                <w:szCs w:val="22"/>
                <w:lang w:eastAsia="en-ZA"/>
              </w:rPr>
              <w:tab/>
            </w:r>
            <w:r w:rsidR="0086106E" w:rsidRPr="00B61A0D">
              <w:rPr>
                <w:rStyle w:val="Hyperlink"/>
              </w:rPr>
              <w:t>DFI Project Funding Criteria</w:t>
            </w:r>
            <w:r w:rsidR="0086106E">
              <w:rPr>
                <w:webHidden/>
              </w:rPr>
              <w:tab/>
            </w:r>
            <w:r w:rsidR="0086106E">
              <w:rPr>
                <w:webHidden/>
              </w:rPr>
              <w:fldChar w:fldCharType="begin"/>
            </w:r>
            <w:r w:rsidR="0086106E">
              <w:rPr>
                <w:webHidden/>
              </w:rPr>
              <w:instrText xml:space="preserve"> PAGEREF _Toc455995465 \h </w:instrText>
            </w:r>
            <w:r w:rsidR="0086106E">
              <w:rPr>
                <w:webHidden/>
              </w:rPr>
            </w:r>
            <w:r w:rsidR="0086106E">
              <w:rPr>
                <w:webHidden/>
              </w:rPr>
              <w:fldChar w:fldCharType="separate"/>
            </w:r>
            <w:r w:rsidR="00913A52">
              <w:rPr>
                <w:webHidden/>
              </w:rPr>
              <w:t>13</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6" w:history="1">
            <w:r w:rsidR="0086106E" w:rsidRPr="00B61A0D">
              <w:rPr>
                <w:rStyle w:val="Hyperlink"/>
              </w:rPr>
              <w:t>3.3</w:t>
            </w:r>
            <w:r w:rsidR="0086106E">
              <w:rPr>
                <w:rFonts w:eastAsiaTheme="minorEastAsia" w:cstheme="minorBidi"/>
                <w:sz w:val="22"/>
                <w:szCs w:val="22"/>
                <w:lang w:eastAsia="en-ZA"/>
              </w:rPr>
              <w:tab/>
            </w:r>
            <w:r w:rsidR="0086106E" w:rsidRPr="00B61A0D">
              <w:rPr>
                <w:rStyle w:val="Hyperlink"/>
              </w:rPr>
              <w:t>National Treasury 2016/17 BEPP Guidelines</w:t>
            </w:r>
            <w:r w:rsidR="0086106E">
              <w:rPr>
                <w:webHidden/>
              </w:rPr>
              <w:tab/>
            </w:r>
            <w:r w:rsidR="0086106E">
              <w:rPr>
                <w:webHidden/>
              </w:rPr>
              <w:fldChar w:fldCharType="begin"/>
            </w:r>
            <w:r w:rsidR="0086106E">
              <w:rPr>
                <w:webHidden/>
              </w:rPr>
              <w:instrText xml:space="preserve"> PAGEREF _Toc455995466 \h </w:instrText>
            </w:r>
            <w:r w:rsidR="0086106E">
              <w:rPr>
                <w:webHidden/>
              </w:rPr>
            </w:r>
            <w:r w:rsidR="0086106E">
              <w:rPr>
                <w:webHidden/>
              </w:rPr>
              <w:fldChar w:fldCharType="separate"/>
            </w:r>
            <w:r w:rsidR="00913A52">
              <w:rPr>
                <w:webHidden/>
              </w:rPr>
              <w:t>14</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7" w:history="1">
            <w:r w:rsidR="0086106E" w:rsidRPr="00B61A0D">
              <w:rPr>
                <w:rStyle w:val="Hyperlink"/>
              </w:rPr>
              <w:t>4.</w:t>
            </w:r>
            <w:r w:rsidR="0086106E">
              <w:rPr>
                <w:rFonts w:eastAsiaTheme="minorEastAsia" w:cstheme="minorBidi"/>
                <w:sz w:val="22"/>
                <w:szCs w:val="22"/>
                <w:lang w:eastAsia="en-ZA"/>
              </w:rPr>
              <w:tab/>
            </w:r>
            <w:r w:rsidR="0086106E" w:rsidRPr="00B61A0D">
              <w:rPr>
                <w:rStyle w:val="Hyperlink"/>
              </w:rPr>
              <w:t>Evaluation and Recommendations</w:t>
            </w:r>
            <w:r w:rsidR="0086106E">
              <w:rPr>
                <w:webHidden/>
              </w:rPr>
              <w:tab/>
            </w:r>
            <w:r w:rsidR="0086106E">
              <w:rPr>
                <w:webHidden/>
              </w:rPr>
              <w:fldChar w:fldCharType="begin"/>
            </w:r>
            <w:r w:rsidR="0086106E">
              <w:rPr>
                <w:webHidden/>
              </w:rPr>
              <w:instrText xml:space="preserve"> PAGEREF _Toc455995467 \h </w:instrText>
            </w:r>
            <w:r w:rsidR="0086106E">
              <w:rPr>
                <w:webHidden/>
              </w:rPr>
            </w:r>
            <w:r w:rsidR="0086106E">
              <w:rPr>
                <w:webHidden/>
              </w:rPr>
              <w:fldChar w:fldCharType="separate"/>
            </w:r>
            <w:r w:rsidR="00913A52">
              <w:rPr>
                <w:webHidden/>
              </w:rPr>
              <w:t>16</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8" w:history="1">
            <w:r w:rsidR="0086106E" w:rsidRPr="00B61A0D">
              <w:rPr>
                <w:rStyle w:val="Hyperlink"/>
              </w:rPr>
              <w:t>4.1.</w:t>
            </w:r>
            <w:r w:rsidR="0086106E">
              <w:rPr>
                <w:rFonts w:eastAsiaTheme="minorEastAsia" w:cstheme="minorBidi"/>
                <w:sz w:val="22"/>
                <w:szCs w:val="22"/>
                <w:lang w:eastAsia="en-ZA"/>
              </w:rPr>
              <w:tab/>
            </w:r>
            <w:r w:rsidR="0086106E" w:rsidRPr="00B61A0D">
              <w:rPr>
                <w:rStyle w:val="Hyperlink"/>
              </w:rPr>
              <w:t>Consolidated Metro Capital Funding Requirements</w:t>
            </w:r>
            <w:r w:rsidR="0086106E">
              <w:rPr>
                <w:webHidden/>
              </w:rPr>
              <w:tab/>
            </w:r>
            <w:r w:rsidR="0086106E">
              <w:rPr>
                <w:webHidden/>
              </w:rPr>
              <w:fldChar w:fldCharType="begin"/>
            </w:r>
            <w:r w:rsidR="0086106E">
              <w:rPr>
                <w:webHidden/>
              </w:rPr>
              <w:instrText xml:space="preserve"> PAGEREF _Toc455995468 \h </w:instrText>
            </w:r>
            <w:r w:rsidR="0086106E">
              <w:rPr>
                <w:webHidden/>
              </w:rPr>
            </w:r>
            <w:r w:rsidR="0086106E">
              <w:rPr>
                <w:webHidden/>
              </w:rPr>
              <w:fldChar w:fldCharType="separate"/>
            </w:r>
            <w:r w:rsidR="00913A52">
              <w:rPr>
                <w:webHidden/>
              </w:rPr>
              <w:t>16</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69" w:history="1">
            <w:r w:rsidR="0086106E" w:rsidRPr="00B61A0D">
              <w:rPr>
                <w:rStyle w:val="Hyperlink"/>
              </w:rPr>
              <w:t>4.1.1.</w:t>
            </w:r>
            <w:r w:rsidR="0086106E">
              <w:rPr>
                <w:rFonts w:eastAsiaTheme="minorEastAsia" w:cstheme="minorBidi"/>
                <w:sz w:val="22"/>
                <w:szCs w:val="22"/>
                <w:lang w:eastAsia="en-ZA"/>
              </w:rPr>
              <w:tab/>
            </w:r>
            <w:r w:rsidR="0086106E" w:rsidRPr="00B61A0D">
              <w:rPr>
                <w:rStyle w:val="Hyperlink"/>
              </w:rPr>
              <w:t>Planned External Loans</w:t>
            </w:r>
            <w:r w:rsidR="0086106E">
              <w:rPr>
                <w:webHidden/>
              </w:rPr>
              <w:tab/>
            </w:r>
            <w:r w:rsidR="0086106E">
              <w:rPr>
                <w:webHidden/>
              </w:rPr>
              <w:fldChar w:fldCharType="begin"/>
            </w:r>
            <w:r w:rsidR="0086106E">
              <w:rPr>
                <w:webHidden/>
              </w:rPr>
              <w:instrText xml:space="preserve"> PAGEREF _Toc455995469 \h </w:instrText>
            </w:r>
            <w:r w:rsidR="0086106E">
              <w:rPr>
                <w:webHidden/>
              </w:rPr>
            </w:r>
            <w:r w:rsidR="0086106E">
              <w:rPr>
                <w:webHidden/>
              </w:rPr>
              <w:fldChar w:fldCharType="separate"/>
            </w:r>
            <w:r w:rsidR="00913A52">
              <w:rPr>
                <w:webHidden/>
              </w:rPr>
              <w:t>18</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0" w:history="1">
            <w:r w:rsidR="0086106E" w:rsidRPr="00B61A0D">
              <w:rPr>
                <w:rStyle w:val="Hyperlink"/>
              </w:rPr>
              <w:t>4.2.</w:t>
            </w:r>
            <w:r w:rsidR="0086106E">
              <w:rPr>
                <w:rFonts w:eastAsiaTheme="minorEastAsia" w:cstheme="minorBidi"/>
                <w:sz w:val="22"/>
                <w:szCs w:val="22"/>
                <w:lang w:eastAsia="en-ZA"/>
              </w:rPr>
              <w:tab/>
            </w:r>
            <w:r w:rsidR="0086106E" w:rsidRPr="00B61A0D">
              <w:rPr>
                <w:rStyle w:val="Hyperlink"/>
              </w:rPr>
              <w:t>Financial Status and Borrowing Capacity of Metropolitans</w:t>
            </w:r>
            <w:r w:rsidR="0086106E">
              <w:rPr>
                <w:webHidden/>
              </w:rPr>
              <w:tab/>
            </w:r>
            <w:r w:rsidR="0086106E">
              <w:rPr>
                <w:webHidden/>
              </w:rPr>
              <w:fldChar w:fldCharType="begin"/>
            </w:r>
            <w:r w:rsidR="0086106E">
              <w:rPr>
                <w:webHidden/>
              </w:rPr>
              <w:instrText xml:space="preserve"> PAGEREF _Toc455995470 \h </w:instrText>
            </w:r>
            <w:r w:rsidR="0086106E">
              <w:rPr>
                <w:webHidden/>
              </w:rPr>
            </w:r>
            <w:r w:rsidR="0086106E">
              <w:rPr>
                <w:webHidden/>
              </w:rPr>
              <w:fldChar w:fldCharType="separate"/>
            </w:r>
            <w:r w:rsidR="00913A52">
              <w:rPr>
                <w:webHidden/>
              </w:rPr>
              <w:t>19</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1" w:history="1">
            <w:r w:rsidR="0086106E" w:rsidRPr="00B61A0D">
              <w:rPr>
                <w:rStyle w:val="Hyperlink"/>
              </w:rPr>
              <w:t>4.2.1.</w:t>
            </w:r>
            <w:r w:rsidR="0086106E">
              <w:rPr>
                <w:rFonts w:eastAsiaTheme="minorEastAsia" w:cstheme="minorBidi"/>
                <w:sz w:val="22"/>
                <w:szCs w:val="22"/>
                <w:lang w:eastAsia="en-ZA"/>
              </w:rPr>
              <w:tab/>
            </w:r>
            <w:r w:rsidR="0086106E" w:rsidRPr="00B61A0D">
              <w:rPr>
                <w:rStyle w:val="Hyperlink"/>
              </w:rPr>
              <w:t>Credit Ratings</w:t>
            </w:r>
            <w:r w:rsidR="0086106E">
              <w:rPr>
                <w:webHidden/>
              </w:rPr>
              <w:tab/>
            </w:r>
            <w:r w:rsidR="0086106E">
              <w:rPr>
                <w:webHidden/>
              </w:rPr>
              <w:fldChar w:fldCharType="begin"/>
            </w:r>
            <w:r w:rsidR="0086106E">
              <w:rPr>
                <w:webHidden/>
              </w:rPr>
              <w:instrText xml:space="preserve"> PAGEREF _Toc455995471 \h </w:instrText>
            </w:r>
            <w:r w:rsidR="0086106E">
              <w:rPr>
                <w:webHidden/>
              </w:rPr>
            </w:r>
            <w:r w:rsidR="0086106E">
              <w:rPr>
                <w:webHidden/>
              </w:rPr>
              <w:fldChar w:fldCharType="separate"/>
            </w:r>
            <w:r w:rsidR="00913A52">
              <w:rPr>
                <w:webHidden/>
              </w:rPr>
              <w:t>19</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2" w:history="1">
            <w:r w:rsidR="0086106E" w:rsidRPr="00B61A0D">
              <w:rPr>
                <w:rStyle w:val="Hyperlink"/>
              </w:rPr>
              <w:t>4.2.1.1.Evaluation of 2016/17 Credit Rating</w:t>
            </w:r>
            <w:r w:rsidR="0086106E">
              <w:rPr>
                <w:webHidden/>
              </w:rPr>
              <w:tab/>
            </w:r>
            <w:r w:rsidR="0086106E">
              <w:rPr>
                <w:webHidden/>
              </w:rPr>
              <w:fldChar w:fldCharType="begin"/>
            </w:r>
            <w:r w:rsidR="0086106E">
              <w:rPr>
                <w:webHidden/>
              </w:rPr>
              <w:instrText xml:space="preserve"> PAGEREF _Toc455995472 \h </w:instrText>
            </w:r>
            <w:r w:rsidR="0086106E">
              <w:rPr>
                <w:webHidden/>
              </w:rPr>
            </w:r>
            <w:r w:rsidR="0086106E">
              <w:rPr>
                <w:webHidden/>
              </w:rPr>
              <w:fldChar w:fldCharType="separate"/>
            </w:r>
            <w:r w:rsidR="00913A52">
              <w:rPr>
                <w:webHidden/>
              </w:rPr>
              <w:t>21</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3" w:history="1">
            <w:r w:rsidR="0086106E" w:rsidRPr="00B61A0D">
              <w:rPr>
                <w:rStyle w:val="Hyperlink"/>
              </w:rPr>
              <w:t>4.2.2.</w:t>
            </w:r>
            <w:r w:rsidR="0086106E">
              <w:rPr>
                <w:rFonts w:eastAsiaTheme="minorEastAsia" w:cstheme="minorBidi"/>
                <w:sz w:val="22"/>
                <w:szCs w:val="22"/>
                <w:lang w:eastAsia="en-ZA"/>
              </w:rPr>
              <w:tab/>
            </w:r>
            <w:r w:rsidR="0086106E" w:rsidRPr="00B61A0D">
              <w:rPr>
                <w:rStyle w:val="Hyperlink"/>
              </w:rPr>
              <w:t>Financial Ratios</w:t>
            </w:r>
            <w:r w:rsidR="0086106E">
              <w:rPr>
                <w:webHidden/>
              </w:rPr>
              <w:tab/>
            </w:r>
            <w:r w:rsidR="0086106E">
              <w:rPr>
                <w:webHidden/>
              </w:rPr>
              <w:fldChar w:fldCharType="begin"/>
            </w:r>
            <w:r w:rsidR="0086106E">
              <w:rPr>
                <w:webHidden/>
              </w:rPr>
              <w:instrText xml:space="preserve"> PAGEREF _Toc455995473 \h </w:instrText>
            </w:r>
            <w:r w:rsidR="0086106E">
              <w:rPr>
                <w:webHidden/>
              </w:rPr>
            </w:r>
            <w:r w:rsidR="0086106E">
              <w:rPr>
                <w:webHidden/>
              </w:rPr>
              <w:fldChar w:fldCharType="separate"/>
            </w:r>
            <w:r w:rsidR="00913A52">
              <w:rPr>
                <w:webHidden/>
              </w:rPr>
              <w:t>22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4" w:history="1">
            <w:r w:rsidR="0086106E" w:rsidRPr="00B61A0D">
              <w:rPr>
                <w:rStyle w:val="Hyperlink"/>
              </w:rPr>
              <w:t>4.2.2.1.Evaluation of 2016/17 Financial Ratios</w:t>
            </w:r>
            <w:r w:rsidR="0086106E">
              <w:rPr>
                <w:webHidden/>
              </w:rPr>
              <w:tab/>
            </w:r>
            <w:r w:rsidR="0086106E">
              <w:rPr>
                <w:webHidden/>
              </w:rPr>
              <w:fldChar w:fldCharType="begin"/>
            </w:r>
            <w:r w:rsidR="0086106E">
              <w:rPr>
                <w:webHidden/>
              </w:rPr>
              <w:instrText xml:space="preserve"> PAGEREF _Toc455995474 \h </w:instrText>
            </w:r>
            <w:r w:rsidR="0086106E">
              <w:rPr>
                <w:webHidden/>
              </w:rPr>
            </w:r>
            <w:r w:rsidR="0086106E">
              <w:rPr>
                <w:webHidden/>
              </w:rPr>
              <w:fldChar w:fldCharType="separate"/>
            </w:r>
            <w:r w:rsidR="00913A52">
              <w:rPr>
                <w:webHidden/>
              </w:rPr>
              <w:t>23</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5" w:history="1">
            <w:r w:rsidR="0086106E" w:rsidRPr="00B61A0D">
              <w:rPr>
                <w:rStyle w:val="Hyperlink"/>
              </w:rPr>
              <w:t>4.2.3.</w:t>
            </w:r>
            <w:r w:rsidR="0086106E">
              <w:rPr>
                <w:rFonts w:eastAsiaTheme="minorEastAsia" w:cstheme="minorBidi"/>
                <w:sz w:val="22"/>
                <w:szCs w:val="22"/>
                <w:lang w:eastAsia="en-ZA"/>
              </w:rPr>
              <w:tab/>
            </w:r>
            <w:r w:rsidR="0086106E" w:rsidRPr="00B61A0D">
              <w:rPr>
                <w:rStyle w:val="Hyperlink"/>
              </w:rPr>
              <w:t>Cash-generating Project Pipeline</w:t>
            </w:r>
            <w:r w:rsidR="0086106E">
              <w:rPr>
                <w:webHidden/>
              </w:rPr>
              <w:tab/>
            </w:r>
            <w:r w:rsidR="0086106E">
              <w:rPr>
                <w:webHidden/>
              </w:rPr>
              <w:fldChar w:fldCharType="begin"/>
            </w:r>
            <w:r w:rsidR="0086106E">
              <w:rPr>
                <w:webHidden/>
              </w:rPr>
              <w:instrText xml:space="preserve"> PAGEREF _Toc455995475 \h </w:instrText>
            </w:r>
            <w:r w:rsidR="0086106E">
              <w:rPr>
                <w:webHidden/>
              </w:rPr>
            </w:r>
            <w:r w:rsidR="0086106E">
              <w:rPr>
                <w:webHidden/>
              </w:rPr>
              <w:fldChar w:fldCharType="separate"/>
            </w:r>
            <w:r w:rsidR="00913A52">
              <w:rPr>
                <w:webHidden/>
              </w:rPr>
              <w:t>25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6" w:history="1">
            <w:r w:rsidR="0086106E" w:rsidRPr="00B61A0D">
              <w:rPr>
                <w:rStyle w:val="Hyperlink"/>
              </w:rPr>
              <w:t>4.2.3.1.Evaluation of 2016/17 Cash-generating Pipeline</w:t>
            </w:r>
            <w:r w:rsidR="0086106E">
              <w:rPr>
                <w:webHidden/>
              </w:rPr>
              <w:tab/>
            </w:r>
            <w:r w:rsidR="0086106E">
              <w:rPr>
                <w:webHidden/>
              </w:rPr>
              <w:fldChar w:fldCharType="begin"/>
            </w:r>
            <w:r w:rsidR="0086106E">
              <w:rPr>
                <w:webHidden/>
              </w:rPr>
              <w:instrText xml:space="preserve"> PAGEREF _Toc455995476 \h </w:instrText>
            </w:r>
            <w:r w:rsidR="0086106E">
              <w:rPr>
                <w:webHidden/>
              </w:rPr>
            </w:r>
            <w:r w:rsidR="0086106E">
              <w:rPr>
                <w:webHidden/>
              </w:rPr>
              <w:fldChar w:fldCharType="separate"/>
            </w:r>
            <w:r w:rsidR="00913A52">
              <w:rPr>
                <w:webHidden/>
              </w:rPr>
              <w:t>26</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7" w:history="1">
            <w:r w:rsidR="0086106E" w:rsidRPr="00B61A0D">
              <w:rPr>
                <w:rStyle w:val="Hyperlink"/>
              </w:rPr>
              <w:t>4.2.4.</w:t>
            </w:r>
            <w:r w:rsidR="0086106E">
              <w:rPr>
                <w:rFonts w:eastAsiaTheme="minorEastAsia" w:cstheme="minorBidi"/>
                <w:sz w:val="22"/>
                <w:szCs w:val="22"/>
                <w:lang w:eastAsia="en-ZA"/>
              </w:rPr>
              <w:tab/>
            </w:r>
            <w:r w:rsidR="0086106E" w:rsidRPr="00B61A0D">
              <w:rPr>
                <w:rStyle w:val="Hyperlink"/>
              </w:rPr>
              <w:t>Long-term Financial Strategy</w:t>
            </w:r>
            <w:r w:rsidR="0086106E">
              <w:rPr>
                <w:webHidden/>
              </w:rPr>
              <w:tab/>
            </w:r>
            <w:r w:rsidR="0086106E">
              <w:rPr>
                <w:webHidden/>
              </w:rPr>
              <w:fldChar w:fldCharType="begin"/>
            </w:r>
            <w:r w:rsidR="0086106E">
              <w:rPr>
                <w:webHidden/>
              </w:rPr>
              <w:instrText xml:space="preserve"> PAGEREF _Toc455995477 \h </w:instrText>
            </w:r>
            <w:r w:rsidR="0086106E">
              <w:rPr>
                <w:webHidden/>
              </w:rPr>
            </w:r>
            <w:r w:rsidR="0086106E">
              <w:rPr>
                <w:webHidden/>
              </w:rPr>
              <w:fldChar w:fldCharType="separate"/>
            </w:r>
            <w:r w:rsidR="00913A52">
              <w:rPr>
                <w:webHidden/>
              </w:rPr>
              <w:t>28</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8" w:history="1">
            <w:r w:rsidR="0086106E" w:rsidRPr="00B61A0D">
              <w:rPr>
                <w:rStyle w:val="Hyperlink"/>
              </w:rPr>
              <w:t>4.2.4.1.Evaluation of 2016/17 Long-term Financial Strategy</w:t>
            </w:r>
            <w:r w:rsidR="0086106E">
              <w:rPr>
                <w:webHidden/>
              </w:rPr>
              <w:tab/>
            </w:r>
            <w:r w:rsidR="0086106E">
              <w:rPr>
                <w:webHidden/>
              </w:rPr>
              <w:fldChar w:fldCharType="begin"/>
            </w:r>
            <w:r w:rsidR="0086106E">
              <w:rPr>
                <w:webHidden/>
              </w:rPr>
              <w:instrText xml:space="preserve"> PAGEREF _Toc455995478 \h </w:instrText>
            </w:r>
            <w:r w:rsidR="0086106E">
              <w:rPr>
                <w:webHidden/>
              </w:rPr>
            </w:r>
            <w:r w:rsidR="0086106E">
              <w:rPr>
                <w:webHidden/>
              </w:rPr>
              <w:fldChar w:fldCharType="separate"/>
            </w:r>
            <w:r w:rsidR="00913A52">
              <w:rPr>
                <w:webHidden/>
              </w:rPr>
              <w:t>29</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79" w:history="1">
            <w:r w:rsidR="0086106E" w:rsidRPr="00B61A0D">
              <w:rPr>
                <w:rStyle w:val="Hyperlink"/>
              </w:rPr>
              <w:t>4.2.5.</w:t>
            </w:r>
            <w:r w:rsidR="0086106E">
              <w:rPr>
                <w:rFonts w:eastAsiaTheme="minorEastAsia" w:cstheme="minorBidi"/>
                <w:sz w:val="22"/>
                <w:szCs w:val="22"/>
                <w:lang w:eastAsia="en-ZA"/>
              </w:rPr>
              <w:tab/>
            </w:r>
            <w:r w:rsidR="0086106E" w:rsidRPr="00B61A0D">
              <w:rPr>
                <w:rStyle w:val="Hyperlink"/>
              </w:rPr>
              <w:t>Off-Balance Sheet Initiatives</w:t>
            </w:r>
            <w:r w:rsidR="0086106E">
              <w:rPr>
                <w:webHidden/>
              </w:rPr>
              <w:tab/>
            </w:r>
            <w:r w:rsidR="0086106E">
              <w:rPr>
                <w:webHidden/>
              </w:rPr>
              <w:fldChar w:fldCharType="begin"/>
            </w:r>
            <w:r w:rsidR="0086106E">
              <w:rPr>
                <w:webHidden/>
              </w:rPr>
              <w:instrText xml:space="preserve"> PAGEREF _Toc455995479 \h </w:instrText>
            </w:r>
            <w:r w:rsidR="0086106E">
              <w:rPr>
                <w:webHidden/>
              </w:rPr>
            </w:r>
            <w:r w:rsidR="0086106E">
              <w:rPr>
                <w:webHidden/>
              </w:rPr>
              <w:fldChar w:fldCharType="separate"/>
            </w:r>
            <w:r w:rsidR="00913A52">
              <w:rPr>
                <w:webHidden/>
              </w:rPr>
              <w:t>31</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0" w:history="1">
            <w:r w:rsidR="0086106E" w:rsidRPr="00B61A0D">
              <w:rPr>
                <w:rStyle w:val="Hyperlink"/>
              </w:rPr>
              <w:t>4.2.5.1.Evaluation of 2016/17 Off-Balance Sheet Arrangements</w:t>
            </w:r>
            <w:r w:rsidR="0086106E">
              <w:rPr>
                <w:webHidden/>
              </w:rPr>
              <w:tab/>
            </w:r>
            <w:r w:rsidR="0086106E">
              <w:rPr>
                <w:webHidden/>
              </w:rPr>
              <w:fldChar w:fldCharType="begin"/>
            </w:r>
            <w:r w:rsidR="0086106E">
              <w:rPr>
                <w:webHidden/>
              </w:rPr>
              <w:instrText xml:space="preserve"> PAGEREF _Toc455995480 \h </w:instrText>
            </w:r>
            <w:r w:rsidR="0086106E">
              <w:rPr>
                <w:webHidden/>
              </w:rPr>
            </w:r>
            <w:r w:rsidR="0086106E">
              <w:rPr>
                <w:webHidden/>
              </w:rPr>
              <w:fldChar w:fldCharType="separate"/>
            </w:r>
            <w:r w:rsidR="00913A52">
              <w:rPr>
                <w:webHidden/>
              </w:rPr>
              <w:t>32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1" w:history="1">
            <w:r w:rsidR="0086106E" w:rsidRPr="00B61A0D">
              <w:rPr>
                <w:rStyle w:val="Hyperlink"/>
              </w:rPr>
              <w:t>4.3.</w:t>
            </w:r>
            <w:r w:rsidR="0086106E">
              <w:rPr>
                <w:rFonts w:eastAsiaTheme="minorEastAsia" w:cstheme="minorBidi"/>
                <w:sz w:val="22"/>
                <w:szCs w:val="22"/>
                <w:lang w:eastAsia="en-ZA"/>
              </w:rPr>
              <w:tab/>
            </w:r>
            <w:r w:rsidR="0086106E" w:rsidRPr="00B61A0D">
              <w:rPr>
                <w:rStyle w:val="Hyperlink"/>
              </w:rPr>
              <w:t>Project Pipeline Funding</w:t>
            </w:r>
            <w:r w:rsidR="0086106E">
              <w:rPr>
                <w:webHidden/>
              </w:rPr>
              <w:tab/>
            </w:r>
            <w:r w:rsidR="0086106E">
              <w:rPr>
                <w:webHidden/>
              </w:rPr>
              <w:fldChar w:fldCharType="begin"/>
            </w:r>
            <w:r w:rsidR="0086106E">
              <w:rPr>
                <w:webHidden/>
              </w:rPr>
              <w:instrText xml:space="preserve"> PAGEREF _Toc455995481 \h </w:instrText>
            </w:r>
            <w:r w:rsidR="0086106E">
              <w:rPr>
                <w:webHidden/>
              </w:rPr>
            </w:r>
            <w:r w:rsidR="0086106E">
              <w:rPr>
                <w:webHidden/>
              </w:rPr>
              <w:fldChar w:fldCharType="separate"/>
            </w:r>
            <w:r w:rsidR="00913A52">
              <w:rPr>
                <w:webHidden/>
              </w:rPr>
              <w:t>33</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2" w:history="1">
            <w:r w:rsidR="0086106E" w:rsidRPr="00B61A0D">
              <w:rPr>
                <w:rStyle w:val="Hyperlink"/>
              </w:rPr>
              <w:t>4.3.1.</w:t>
            </w:r>
            <w:r w:rsidR="0086106E">
              <w:rPr>
                <w:rFonts w:eastAsiaTheme="minorEastAsia" w:cstheme="minorBidi"/>
                <w:sz w:val="22"/>
                <w:szCs w:val="22"/>
                <w:lang w:eastAsia="en-ZA"/>
              </w:rPr>
              <w:tab/>
            </w:r>
            <w:r w:rsidR="0086106E" w:rsidRPr="00B61A0D">
              <w:rPr>
                <w:rStyle w:val="Hyperlink"/>
              </w:rPr>
              <w:t>Development of a Comprehensive Funding Plan</w:t>
            </w:r>
            <w:r w:rsidR="0086106E">
              <w:rPr>
                <w:webHidden/>
              </w:rPr>
              <w:tab/>
            </w:r>
            <w:r w:rsidR="0086106E">
              <w:rPr>
                <w:webHidden/>
              </w:rPr>
              <w:fldChar w:fldCharType="begin"/>
            </w:r>
            <w:r w:rsidR="0086106E">
              <w:rPr>
                <w:webHidden/>
              </w:rPr>
              <w:instrText xml:space="preserve"> PAGEREF _Toc455995482 \h </w:instrText>
            </w:r>
            <w:r w:rsidR="0086106E">
              <w:rPr>
                <w:webHidden/>
              </w:rPr>
            </w:r>
            <w:r w:rsidR="0086106E">
              <w:rPr>
                <w:webHidden/>
              </w:rPr>
              <w:fldChar w:fldCharType="separate"/>
            </w:r>
            <w:r w:rsidR="00913A52">
              <w:rPr>
                <w:webHidden/>
              </w:rPr>
              <w:t>33</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3" w:history="1">
            <w:r w:rsidR="0086106E" w:rsidRPr="00B61A0D">
              <w:rPr>
                <w:rStyle w:val="Hyperlink"/>
              </w:rPr>
              <w:t>4.3.2.</w:t>
            </w:r>
            <w:r w:rsidR="0086106E">
              <w:rPr>
                <w:rFonts w:eastAsiaTheme="minorEastAsia" w:cstheme="minorBidi"/>
                <w:sz w:val="22"/>
                <w:szCs w:val="22"/>
                <w:lang w:eastAsia="en-ZA"/>
              </w:rPr>
              <w:tab/>
            </w:r>
            <w:r w:rsidR="0086106E" w:rsidRPr="00B61A0D">
              <w:rPr>
                <w:rStyle w:val="Hyperlink"/>
              </w:rPr>
              <w:t>Innovative Solutions to Funding Requirements</w:t>
            </w:r>
            <w:r w:rsidR="0086106E">
              <w:rPr>
                <w:webHidden/>
              </w:rPr>
              <w:tab/>
            </w:r>
            <w:r w:rsidR="0086106E">
              <w:rPr>
                <w:webHidden/>
              </w:rPr>
              <w:fldChar w:fldCharType="begin"/>
            </w:r>
            <w:r w:rsidR="0086106E">
              <w:rPr>
                <w:webHidden/>
              </w:rPr>
              <w:instrText xml:space="preserve"> PAGEREF _Toc455995483 \h </w:instrText>
            </w:r>
            <w:r w:rsidR="0086106E">
              <w:rPr>
                <w:webHidden/>
              </w:rPr>
            </w:r>
            <w:r w:rsidR="0086106E">
              <w:rPr>
                <w:webHidden/>
              </w:rPr>
              <w:fldChar w:fldCharType="separate"/>
            </w:r>
            <w:r w:rsidR="00913A52">
              <w:rPr>
                <w:webHidden/>
              </w:rPr>
              <w:t>35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4" w:history="1">
            <w:r w:rsidR="0086106E" w:rsidRPr="00B61A0D">
              <w:rPr>
                <w:rStyle w:val="Hyperlink"/>
              </w:rPr>
              <w:t>i.</w:t>
            </w:r>
            <w:r w:rsidR="0086106E">
              <w:rPr>
                <w:rFonts w:eastAsiaTheme="minorEastAsia" w:cstheme="minorBidi"/>
                <w:sz w:val="22"/>
                <w:szCs w:val="22"/>
                <w:lang w:eastAsia="en-ZA"/>
              </w:rPr>
              <w:tab/>
            </w:r>
            <w:r w:rsidR="0086106E" w:rsidRPr="00B61A0D">
              <w:rPr>
                <w:rStyle w:val="Hyperlink"/>
              </w:rPr>
              <w:t>Private Sector Partnerships</w:t>
            </w:r>
            <w:r w:rsidR="0086106E">
              <w:rPr>
                <w:webHidden/>
              </w:rPr>
              <w:tab/>
            </w:r>
            <w:r w:rsidR="0086106E">
              <w:rPr>
                <w:webHidden/>
              </w:rPr>
              <w:fldChar w:fldCharType="begin"/>
            </w:r>
            <w:r w:rsidR="0086106E">
              <w:rPr>
                <w:webHidden/>
              </w:rPr>
              <w:instrText xml:space="preserve"> PAGEREF _Toc455995484 \h </w:instrText>
            </w:r>
            <w:r w:rsidR="0086106E">
              <w:rPr>
                <w:webHidden/>
              </w:rPr>
            </w:r>
            <w:r w:rsidR="0086106E">
              <w:rPr>
                <w:webHidden/>
              </w:rPr>
              <w:fldChar w:fldCharType="separate"/>
            </w:r>
            <w:r w:rsidR="00913A52">
              <w:rPr>
                <w:webHidden/>
              </w:rPr>
              <w:t>35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5" w:history="1">
            <w:r w:rsidR="0086106E" w:rsidRPr="00B61A0D">
              <w:rPr>
                <w:rStyle w:val="Hyperlink"/>
              </w:rPr>
              <w:t>ii.</w:t>
            </w:r>
            <w:r w:rsidR="0086106E">
              <w:rPr>
                <w:rFonts w:eastAsiaTheme="minorEastAsia" w:cstheme="minorBidi"/>
                <w:sz w:val="22"/>
                <w:szCs w:val="22"/>
                <w:lang w:eastAsia="en-ZA"/>
              </w:rPr>
              <w:tab/>
            </w:r>
            <w:r w:rsidR="0086106E" w:rsidRPr="00B61A0D">
              <w:rPr>
                <w:rStyle w:val="Hyperlink"/>
              </w:rPr>
              <w:t>PPP Feasibility Study</w:t>
            </w:r>
            <w:r w:rsidR="0086106E">
              <w:rPr>
                <w:webHidden/>
              </w:rPr>
              <w:tab/>
            </w:r>
            <w:r w:rsidR="0086106E">
              <w:rPr>
                <w:webHidden/>
              </w:rPr>
              <w:fldChar w:fldCharType="begin"/>
            </w:r>
            <w:r w:rsidR="0086106E">
              <w:rPr>
                <w:webHidden/>
              </w:rPr>
              <w:instrText xml:space="preserve"> PAGEREF _Toc455995485 \h </w:instrText>
            </w:r>
            <w:r w:rsidR="0086106E">
              <w:rPr>
                <w:webHidden/>
              </w:rPr>
            </w:r>
            <w:r w:rsidR="0086106E">
              <w:rPr>
                <w:webHidden/>
              </w:rPr>
              <w:fldChar w:fldCharType="separate"/>
            </w:r>
            <w:r w:rsidR="00913A52">
              <w:rPr>
                <w:webHidden/>
              </w:rPr>
              <w:t>36</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6" w:history="1">
            <w:r w:rsidR="0086106E" w:rsidRPr="00B61A0D">
              <w:rPr>
                <w:rStyle w:val="Hyperlink"/>
              </w:rPr>
              <w:t>iii.</w:t>
            </w:r>
            <w:r w:rsidR="0086106E">
              <w:rPr>
                <w:rFonts w:eastAsiaTheme="minorEastAsia" w:cstheme="minorBidi"/>
                <w:sz w:val="22"/>
                <w:szCs w:val="22"/>
                <w:lang w:eastAsia="en-ZA"/>
              </w:rPr>
              <w:tab/>
            </w:r>
            <w:r w:rsidR="0086106E" w:rsidRPr="00B61A0D">
              <w:rPr>
                <w:rStyle w:val="Hyperlink"/>
              </w:rPr>
              <w:t>Advantages of the PPP Structure</w:t>
            </w:r>
            <w:r w:rsidR="0086106E">
              <w:rPr>
                <w:webHidden/>
              </w:rPr>
              <w:tab/>
            </w:r>
            <w:r w:rsidR="0086106E">
              <w:rPr>
                <w:webHidden/>
              </w:rPr>
              <w:fldChar w:fldCharType="begin"/>
            </w:r>
            <w:r w:rsidR="0086106E">
              <w:rPr>
                <w:webHidden/>
              </w:rPr>
              <w:instrText xml:space="preserve"> PAGEREF _Toc455995486 \h </w:instrText>
            </w:r>
            <w:r w:rsidR="0086106E">
              <w:rPr>
                <w:webHidden/>
              </w:rPr>
            </w:r>
            <w:r w:rsidR="0086106E">
              <w:rPr>
                <w:webHidden/>
              </w:rPr>
              <w:fldChar w:fldCharType="separate"/>
            </w:r>
            <w:r w:rsidR="00913A52">
              <w:rPr>
                <w:webHidden/>
              </w:rPr>
              <w:t>38</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7" w:history="1">
            <w:r w:rsidR="0086106E" w:rsidRPr="00B61A0D">
              <w:rPr>
                <w:rStyle w:val="Hyperlink"/>
              </w:rPr>
              <w:t>4.3.2.1.Evaluation of 2016/17 Project Pipeline and Funding</w:t>
            </w:r>
            <w:r w:rsidR="0086106E">
              <w:rPr>
                <w:webHidden/>
              </w:rPr>
              <w:tab/>
            </w:r>
            <w:r w:rsidR="0086106E">
              <w:rPr>
                <w:webHidden/>
              </w:rPr>
              <w:fldChar w:fldCharType="begin"/>
            </w:r>
            <w:r w:rsidR="0086106E">
              <w:rPr>
                <w:webHidden/>
              </w:rPr>
              <w:instrText xml:space="preserve"> PAGEREF _Toc455995487 \h </w:instrText>
            </w:r>
            <w:r w:rsidR="0086106E">
              <w:rPr>
                <w:webHidden/>
              </w:rPr>
            </w:r>
            <w:r w:rsidR="0086106E">
              <w:rPr>
                <w:webHidden/>
              </w:rPr>
              <w:fldChar w:fldCharType="separate"/>
            </w:r>
            <w:r w:rsidR="00913A52">
              <w:rPr>
                <w:webHidden/>
              </w:rPr>
              <w:t>40</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8" w:history="1">
            <w:r w:rsidR="0086106E" w:rsidRPr="00B61A0D">
              <w:rPr>
                <w:rStyle w:val="Hyperlink"/>
              </w:rPr>
              <w:t>4.4.</w:t>
            </w:r>
            <w:r w:rsidR="0086106E">
              <w:rPr>
                <w:rFonts w:eastAsiaTheme="minorEastAsia" w:cstheme="minorBidi"/>
                <w:sz w:val="22"/>
                <w:szCs w:val="22"/>
                <w:lang w:eastAsia="en-ZA"/>
              </w:rPr>
              <w:tab/>
            </w:r>
            <w:r w:rsidR="0086106E" w:rsidRPr="00B61A0D">
              <w:rPr>
                <w:rStyle w:val="Hyperlink"/>
              </w:rPr>
              <w:t>Risks Identification and Mitigation</w:t>
            </w:r>
            <w:r w:rsidR="0086106E">
              <w:rPr>
                <w:webHidden/>
              </w:rPr>
              <w:tab/>
            </w:r>
            <w:r w:rsidR="0086106E">
              <w:rPr>
                <w:webHidden/>
              </w:rPr>
              <w:fldChar w:fldCharType="begin"/>
            </w:r>
            <w:r w:rsidR="0086106E">
              <w:rPr>
                <w:webHidden/>
              </w:rPr>
              <w:instrText xml:space="preserve"> PAGEREF _Toc455995488 \h </w:instrText>
            </w:r>
            <w:r w:rsidR="0086106E">
              <w:rPr>
                <w:webHidden/>
              </w:rPr>
            </w:r>
            <w:r w:rsidR="0086106E">
              <w:rPr>
                <w:webHidden/>
              </w:rPr>
              <w:fldChar w:fldCharType="separate"/>
            </w:r>
            <w:r w:rsidR="00913A52">
              <w:rPr>
                <w:webHidden/>
              </w:rPr>
              <w:t>42</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89" w:history="1">
            <w:r w:rsidR="0086106E" w:rsidRPr="00B61A0D">
              <w:rPr>
                <w:rStyle w:val="Hyperlink"/>
              </w:rPr>
              <w:t>4.4.1.1.Evaluation of 2016/17 Risk Identification and Mitigation</w:t>
            </w:r>
            <w:r w:rsidR="0086106E">
              <w:rPr>
                <w:webHidden/>
              </w:rPr>
              <w:tab/>
            </w:r>
            <w:r w:rsidR="0086106E">
              <w:rPr>
                <w:webHidden/>
              </w:rPr>
              <w:fldChar w:fldCharType="begin"/>
            </w:r>
            <w:r w:rsidR="0086106E">
              <w:rPr>
                <w:webHidden/>
              </w:rPr>
              <w:instrText xml:space="preserve"> PAGEREF _Toc455995489 \h </w:instrText>
            </w:r>
            <w:r w:rsidR="0086106E">
              <w:rPr>
                <w:webHidden/>
              </w:rPr>
            </w:r>
            <w:r w:rsidR="0086106E">
              <w:rPr>
                <w:webHidden/>
              </w:rPr>
              <w:fldChar w:fldCharType="separate"/>
            </w:r>
            <w:r w:rsidR="00913A52">
              <w:rPr>
                <w:webHidden/>
              </w:rPr>
              <w:t>45</w:t>
            </w:r>
            <w:r w:rsidR="0086106E">
              <w:rPr>
                <w:webHidden/>
              </w:rPr>
              <w:fldChar w:fldCharType="end"/>
            </w:r>
          </w:hyperlink>
        </w:p>
        <w:p w:rsidR="0086106E" w:rsidRDefault="009676C4">
          <w:pPr>
            <w:pStyle w:val="TOC3"/>
            <w:rPr>
              <w:rFonts w:eastAsiaTheme="minorEastAsia" w:cstheme="minorBidi"/>
              <w:sz w:val="22"/>
              <w:szCs w:val="22"/>
              <w:lang w:eastAsia="en-ZA"/>
            </w:rPr>
          </w:pPr>
          <w:hyperlink w:anchor="_Toc455995490" w:history="1">
            <w:r w:rsidR="0086106E" w:rsidRPr="00B61A0D">
              <w:rPr>
                <w:rStyle w:val="Hyperlink"/>
              </w:rPr>
              <w:t>5.</w:t>
            </w:r>
            <w:r w:rsidR="0086106E">
              <w:rPr>
                <w:rFonts w:eastAsiaTheme="minorEastAsia" w:cstheme="minorBidi"/>
                <w:sz w:val="22"/>
                <w:szCs w:val="22"/>
                <w:lang w:eastAsia="en-ZA"/>
              </w:rPr>
              <w:tab/>
            </w:r>
            <w:r w:rsidR="0086106E" w:rsidRPr="00B61A0D">
              <w:rPr>
                <w:rStyle w:val="Hyperlink"/>
              </w:rPr>
              <w:t>Conclusion</w:t>
            </w:r>
            <w:r w:rsidR="0086106E">
              <w:rPr>
                <w:webHidden/>
              </w:rPr>
              <w:tab/>
            </w:r>
            <w:r w:rsidR="0086106E">
              <w:rPr>
                <w:webHidden/>
              </w:rPr>
              <w:fldChar w:fldCharType="begin"/>
            </w:r>
            <w:r w:rsidR="0086106E">
              <w:rPr>
                <w:webHidden/>
              </w:rPr>
              <w:instrText xml:space="preserve"> PAGEREF _Toc455995490 \h </w:instrText>
            </w:r>
            <w:r w:rsidR="0086106E">
              <w:rPr>
                <w:webHidden/>
              </w:rPr>
            </w:r>
            <w:r w:rsidR="0086106E">
              <w:rPr>
                <w:webHidden/>
              </w:rPr>
              <w:fldChar w:fldCharType="separate"/>
            </w:r>
            <w:r w:rsidR="00913A52">
              <w:rPr>
                <w:webHidden/>
              </w:rPr>
              <w:t>47</w:t>
            </w:r>
            <w:r w:rsidR="0086106E">
              <w:rPr>
                <w:webHidden/>
              </w:rPr>
              <w:fldChar w:fldCharType="end"/>
            </w:r>
          </w:hyperlink>
        </w:p>
        <w:p w:rsidR="00C75AC0" w:rsidRDefault="00C75AC0">
          <w:r>
            <w:rPr>
              <w:b/>
              <w:bCs/>
              <w:noProof/>
            </w:rPr>
            <w:fldChar w:fldCharType="end"/>
          </w:r>
        </w:p>
      </w:sdtContent>
    </w:sdt>
    <w:p w:rsidR="00634AD8" w:rsidRDefault="00634AD8">
      <w:pPr>
        <w:spacing w:after="200" w:line="276" w:lineRule="auto"/>
        <w:jc w:val="left"/>
        <w:rPr>
          <w:sz w:val="20"/>
          <w:lang w:val="en-GB"/>
        </w:rPr>
      </w:pPr>
      <w:r>
        <w:rPr>
          <w:sz w:val="20"/>
          <w:lang w:val="en-GB"/>
        </w:rPr>
        <w:br w:type="page"/>
      </w:r>
    </w:p>
    <w:p w:rsidR="00430374" w:rsidRPr="00430374" w:rsidRDefault="00A97500" w:rsidP="00430374">
      <w:pPr>
        <w:pStyle w:val="Heading3"/>
        <w:numPr>
          <w:ilvl w:val="0"/>
          <w:numId w:val="6"/>
        </w:numPr>
        <w:rPr>
          <w:szCs w:val="32"/>
        </w:rPr>
      </w:pPr>
      <w:bookmarkStart w:id="1" w:name="_Toc455995456"/>
      <w:r w:rsidRPr="00430374">
        <w:lastRenderedPageBreak/>
        <w:t>Introduction</w:t>
      </w:r>
      <w:bookmarkEnd w:id="1"/>
    </w:p>
    <w:p w:rsidR="00355729" w:rsidRPr="00430374" w:rsidRDefault="00355729" w:rsidP="00B525BD">
      <w:pPr>
        <w:pStyle w:val="Heading3"/>
        <w:numPr>
          <w:ilvl w:val="1"/>
          <w:numId w:val="6"/>
        </w:numPr>
        <w:rPr>
          <w:szCs w:val="32"/>
        </w:rPr>
      </w:pPr>
      <w:bookmarkStart w:id="2" w:name="_Toc455995457"/>
      <w:r w:rsidRPr="00430374">
        <w:rPr>
          <w:szCs w:val="32"/>
        </w:rPr>
        <w:t>Background</w:t>
      </w:r>
      <w:bookmarkEnd w:id="2"/>
    </w:p>
    <w:p w:rsidR="00355729" w:rsidRPr="00355729" w:rsidRDefault="00355729" w:rsidP="00355729">
      <w:pPr>
        <w:rPr>
          <w:rFonts w:cs="Arial"/>
          <w:szCs w:val="22"/>
        </w:rPr>
      </w:pPr>
      <w:r w:rsidRPr="00355729">
        <w:rPr>
          <w:rFonts w:cs="Arial"/>
          <w:szCs w:val="22"/>
        </w:rPr>
        <w:t>The DBSA and the National Treasury entered into a three (3) year</w:t>
      </w:r>
      <w:r>
        <w:rPr>
          <w:rFonts w:cs="Arial"/>
          <w:szCs w:val="22"/>
        </w:rPr>
        <w:t xml:space="preserve"> Service Level Agreement (SLA) </w:t>
      </w:r>
      <w:r w:rsidRPr="00355729">
        <w:rPr>
          <w:rFonts w:cs="Arial"/>
          <w:szCs w:val="22"/>
        </w:rPr>
        <w:t>in October 2014 to implement the CSP which is aimed at improving the capacity of metropolitan cities and the way they function so as to create more inclusive, productive, and sustainable cities. The objective of the CSP are as follows:</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enable cities to play a leading role as drivers of economic growth</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provide an arena for the coordination of policy, fiscal and implementation support measures for cities</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strategically respond to demand for support from cities</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provide an integrated package of implementation support to cities</w:t>
      </w:r>
    </w:p>
    <w:p w:rsidR="00355729" w:rsidRPr="00355729" w:rsidRDefault="00355729" w:rsidP="00DB22C5">
      <w:pPr>
        <w:pStyle w:val="ListParagraph"/>
        <w:numPr>
          <w:ilvl w:val="0"/>
          <w:numId w:val="7"/>
        </w:numPr>
        <w:spacing w:after="160"/>
        <w:rPr>
          <w:rFonts w:cs="Arial"/>
          <w:szCs w:val="22"/>
        </w:rPr>
      </w:pPr>
      <w:r w:rsidRPr="00355729">
        <w:rPr>
          <w:rFonts w:cs="Arial"/>
          <w:szCs w:val="22"/>
        </w:rPr>
        <w:t>To ensure that cities are enabled and appropriately encouraged to improve the performance of their built environment through accompanying changes to the regulatory and fiscal environment in each sector.</w:t>
      </w:r>
    </w:p>
    <w:p w:rsidR="00355729" w:rsidRPr="00355729" w:rsidRDefault="00355729" w:rsidP="00355729">
      <w:pPr>
        <w:rPr>
          <w:rFonts w:cs="Arial"/>
          <w:szCs w:val="22"/>
        </w:rPr>
      </w:pPr>
      <w:r w:rsidRPr="00355729">
        <w:rPr>
          <w:rFonts w:cs="Arial"/>
          <w:szCs w:val="22"/>
        </w:rPr>
        <w:t>In terms of the SLA, the DBSA has been mandated to fulfil the following objective:</w:t>
      </w:r>
    </w:p>
    <w:p w:rsidR="00355729" w:rsidRDefault="00355729" w:rsidP="00355729">
      <w:pPr>
        <w:rPr>
          <w:rFonts w:cs="Arial"/>
          <w:szCs w:val="22"/>
        </w:rPr>
      </w:pPr>
      <w:r w:rsidRPr="00355729">
        <w:rPr>
          <w:rFonts w:cs="Arial"/>
          <w:b/>
          <w:szCs w:val="22"/>
        </w:rPr>
        <w:t>“</w:t>
      </w:r>
      <w:r w:rsidRPr="00355729">
        <w:rPr>
          <w:rFonts w:cs="Arial"/>
          <w:b/>
          <w:i/>
          <w:szCs w:val="22"/>
        </w:rPr>
        <w:t>Conduct analytical review of the Cities Built Environment plan and recommend intervention strategies</w:t>
      </w:r>
      <w:r w:rsidRPr="00355729">
        <w:rPr>
          <w:rFonts w:cs="Arial"/>
          <w:szCs w:val="22"/>
        </w:rPr>
        <w:t xml:space="preserve">”.  </w:t>
      </w:r>
    </w:p>
    <w:p w:rsidR="00EA5F96" w:rsidRPr="00355729" w:rsidRDefault="00EA5F96" w:rsidP="00355729">
      <w:pPr>
        <w:rPr>
          <w:rFonts w:cs="Arial"/>
          <w:szCs w:val="22"/>
        </w:rPr>
      </w:pPr>
    </w:p>
    <w:p w:rsidR="00B750FC" w:rsidRDefault="00B750FC" w:rsidP="00B750FC">
      <w:pPr>
        <w:rPr>
          <w:rFonts w:cs="Arial"/>
          <w:szCs w:val="22"/>
        </w:rPr>
      </w:pPr>
      <w:r w:rsidRPr="00B750FC">
        <w:rPr>
          <w:rFonts w:cs="Arial"/>
          <w:szCs w:val="22"/>
        </w:rPr>
        <w:t>To this effect, the DBSA-IDD will conduct an annual technical desktop review of BEPPs to assess how effectively and efficiently BEPPs are financed at an institutional and programme/project pipeline level.</w:t>
      </w:r>
    </w:p>
    <w:p w:rsidR="00B750FC" w:rsidRPr="00B750FC" w:rsidRDefault="00B750FC" w:rsidP="00B750FC">
      <w:pPr>
        <w:rPr>
          <w:rFonts w:cs="Arial"/>
          <w:szCs w:val="22"/>
        </w:rPr>
      </w:pPr>
    </w:p>
    <w:p w:rsidR="00B750FC" w:rsidRDefault="00B750FC" w:rsidP="00B750FC">
      <w:pPr>
        <w:rPr>
          <w:rFonts w:cs="Arial"/>
          <w:szCs w:val="22"/>
        </w:rPr>
      </w:pPr>
      <w:r w:rsidRPr="00B750FC">
        <w:rPr>
          <w:rFonts w:cs="Arial"/>
          <w:szCs w:val="22"/>
        </w:rPr>
        <w:t>According to the 2016/2017 BEPP guidelines on Capital Funding: BEPPs should clearly articulate the long term financing need and strategy for spatial transformation. This financing strategy should be based on the plan for spatial transformation – the spatial targeting approach that results in the identification of urban networks, Integration Zones, areas where service backlogs need to be addressed, informal settlements, marginalised areas, and growth nodes for economic development. The long term financial strategy provides the framework for investment activities that relate specifically to the financing pf projects within Integration Zones.</w:t>
      </w:r>
    </w:p>
    <w:p w:rsidR="00B750FC" w:rsidRPr="00B750FC" w:rsidRDefault="00B750FC" w:rsidP="00B750FC">
      <w:pPr>
        <w:rPr>
          <w:rFonts w:cs="Arial"/>
          <w:szCs w:val="22"/>
        </w:rPr>
      </w:pPr>
    </w:p>
    <w:p w:rsidR="00355729" w:rsidRDefault="00355729" w:rsidP="00355729">
      <w:pPr>
        <w:rPr>
          <w:rFonts w:cs="Arial"/>
          <w:b/>
          <w:color w:val="FF0000"/>
          <w:szCs w:val="22"/>
        </w:rPr>
      </w:pPr>
      <w:r w:rsidRPr="00355729">
        <w:rPr>
          <w:rFonts w:cs="Arial"/>
          <w:szCs w:val="22"/>
        </w:rPr>
        <w:t>National Treasury recommended that the DBSA should focus on conducting an evaluation of the financing strategies of the metros and confirm the availability of critical programmes and catalytic projects to determine whether the BEPP’s can reach financial closur</w:t>
      </w:r>
      <w:r w:rsidRPr="00D11E0B">
        <w:rPr>
          <w:rFonts w:cs="Arial"/>
          <w:szCs w:val="22"/>
        </w:rPr>
        <w:t>e</w:t>
      </w:r>
      <w:r w:rsidRPr="00D11E0B">
        <w:rPr>
          <w:rFonts w:cs="Arial"/>
          <w:b/>
          <w:szCs w:val="22"/>
        </w:rPr>
        <w:t xml:space="preserve">. </w:t>
      </w:r>
    </w:p>
    <w:p w:rsidR="00355729" w:rsidRPr="00087B82" w:rsidRDefault="009909C5" w:rsidP="00920D90">
      <w:pPr>
        <w:pStyle w:val="Heading3"/>
        <w:numPr>
          <w:ilvl w:val="1"/>
          <w:numId w:val="6"/>
        </w:numPr>
        <w:rPr>
          <w:szCs w:val="32"/>
        </w:rPr>
      </w:pPr>
      <w:bookmarkStart w:id="3" w:name="_Toc455995458"/>
      <w:r>
        <w:rPr>
          <w:szCs w:val="32"/>
        </w:rPr>
        <w:lastRenderedPageBreak/>
        <w:t>Problem S</w:t>
      </w:r>
      <w:r w:rsidR="00055E6E" w:rsidRPr="00087B82">
        <w:rPr>
          <w:szCs w:val="32"/>
        </w:rPr>
        <w:t>tatement</w:t>
      </w:r>
      <w:bookmarkEnd w:id="3"/>
    </w:p>
    <w:p w:rsidR="00ED661D" w:rsidRDefault="00ED661D" w:rsidP="00ED661D">
      <w:pPr>
        <w:autoSpaceDE w:val="0"/>
        <w:autoSpaceDN w:val="0"/>
        <w:adjustRightInd w:val="0"/>
        <w:rPr>
          <w:rFonts w:cs="Arial"/>
          <w:szCs w:val="22"/>
        </w:rPr>
      </w:pPr>
      <w:r w:rsidRPr="00ED661D">
        <w:rPr>
          <w:rFonts w:cs="Arial"/>
          <w:szCs w:val="22"/>
        </w:rPr>
        <w:t>The BEPP is a requirement of the DORA in respect of infrastructure grants related to the built environment of metropolitan municipalities. It remains one of the eligibility requirements for the Integrated City Development Grant (ICDG). The ICDG is an incentive grant that rewards the application of infrastructure grants, as part of the total capital budget, toward catalysing spatial transformation through a spatial targeting approach at a sub-metropolitan level.</w:t>
      </w:r>
    </w:p>
    <w:p w:rsidR="00ED661D" w:rsidRDefault="00ED661D" w:rsidP="00ED661D">
      <w:pPr>
        <w:autoSpaceDE w:val="0"/>
        <w:autoSpaceDN w:val="0"/>
        <w:adjustRightInd w:val="0"/>
        <w:rPr>
          <w:rFonts w:cs="Arial"/>
          <w:szCs w:val="22"/>
        </w:rPr>
      </w:pPr>
    </w:p>
    <w:p w:rsidR="00ED661D" w:rsidRDefault="00ED661D" w:rsidP="00ED661D">
      <w:pPr>
        <w:autoSpaceDE w:val="0"/>
        <w:autoSpaceDN w:val="0"/>
        <w:adjustRightInd w:val="0"/>
        <w:rPr>
          <w:rFonts w:cs="Arial"/>
          <w:szCs w:val="22"/>
        </w:rPr>
      </w:pPr>
      <w:r w:rsidRPr="00ED661D">
        <w:rPr>
          <w:rFonts w:cs="Arial"/>
          <w:szCs w:val="22"/>
        </w:rPr>
        <w:t>The evaluation of the 2015/16 BEPPs have highlighted the following deficiencies and inconsistencies in the various the financing models and strategies of the metro BEPPs:</w:t>
      </w:r>
    </w:p>
    <w:p w:rsidR="00ED661D" w:rsidRDefault="00ED661D" w:rsidP="00ED661D">
      <w:pPr>
        <w:autoSpaceDE w:val="0"/>
        <w:autoSpaceDN w:val="0"/>
        <w:adjustRightInd w:val="0"/>
        <w:rPr>
          <w:rFonts w:cs="Arial"/>
          <w:szCs w:val="22"/>
        </w:rPr>
      </w:pPr>
    </w:p>
    <w:p w:rsidR="00ED661D" w:rsidRPr="00ED661D" w:rsidRDefault="00ED661D" w:rsidP="00665E99">
      <w:pPr>
        <w:numPr>
          <w:ilvl w:val="0"/>
          <w:numId w:val="24"/>
        </w:numPr>
        <w:autoSpaceDE w:val="0"/>
        <w:autoSpaceDN w:val="0"/>
        <w:adjustRightInd w:val="0"/>
        <w:rPr>
          <w:rFonts w:cs="Arial"/>
          <w:b/>
          <w:szCs w:val="22"/>
        </w:rPr>
      </w:pPr>
      <w:r w:rsidRPr="00ED661D">
        <w:rPr>
          <w:rFonts w:cs="Arial"/>
          <w:b/>
          <w:szCs w:val="22"/>
        </w:rPr>
        <w:t>Limited Consideration of Alternate Funding Options</w:t>
      </w:r>
    </w:p>
    <w:p w:rsidR="00ED661D" w:rsidRPr="00ED661D" w:rsidRDefault="00ED661D" w:rsidP="00ED661D">
      <w:pPr>
        <w:autoSpaceDE w:val="0"/>
        <w:autoSpaceDN w:val="0"/>
        <w:adjustRightInd w:val="0"/>
        <w:rPr>
          <w:rFonts w:cs="Arial"/>
          <w:szCs w:val="22"/>
        </w:rPr>
      </w:pPr>
      <w:r w:rsidRPr="00ED661D">
        <w:rPr>
          <w:rFonts w:cs="Arial"/>
          <w:szCs w:val="22"/>
        </w:rPr>
        <w:t>BEPPs have largely been developed to support the following grant funding allocations:</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ICDG – Integrated City Development Grant;</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USDG – Urban Settlements Development Grant;</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HSDG – Human Settlements Development Grant;</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PTIG – Public Transport Infrastructure Grant;</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NDPG – Neighbourhood Development Partnership Grant; and</w:t>
      </w:r>
    </w:p>
    <w:p w:rsidR="00ED661D" w:rsidRPr="00ED661D" w:rsidRDefault="00ED661D" w:rsidP="00665E99">
      <w:pPr>
        <w:numPr>
          <w:ilvl w:val="0"/>
          <w:numId w:val="23"/>
        </w:numPr>
        <w:autoSpaceDE w:val="0"/>
        <w:autoSpaceDN w:val="0"/>
        <w:adjustRightInd w:val="0"/>
        <w:rPr>
          <w:rFonts w:cs="Arial"/>
          <w:szCs w:val="22"/>
        </w:rPr>
      </w:pPr>
      <w:r w:rsidRPr="00ED661D">
        <w:rPr>
          <w:rFonts w:cs="Arial"/>
          <w:szCs w:val="22"/>
        </w:rPr>
        <w:t>INEP – Integrated National Electrification Grant.</w:t>
      </w:r>
    </w:p>
    <w:p w:rsidR="00ED661D" w:rsidRPr="00ED661D" w:rsidRDefault="00ED661D" w:rsidP="00ED661D">
      <w:pPr>
        <w:autoSpaceDE w:val="0"/>
        <w:autoSpaceDN w:val="0"/>
        <w:adjustRightInd w:val="0"/>
        <w:rPr>
          <w:rFonts w:cs="Arial"/>
          <w:szCs w:val="22"/>
        </w:rPr>
      </w:pPr>
    </w:p>
    <w:p w:rsidR="00ED661D" w:rsidRDefault="00ED661D" w:rsidP="00ED661D">
      <w:pPr>
        <w:autoSpaceDE w:val="0"/>
        <w:autoSpaceDN w:val="0"/>
        <w:adjustRightInd w:val="0"/>
        <w:rPr>
          <w:rFonts w:cs="Arial"/>
          <w:szCs w:val="22"/>
        </w:rPr>
      </w:pPr>
      <w:r w:rsidRPr="00ED661D">
        <w:rPr>
          <w:rFonts w:cs="Arial"/>
          <w:szCs w:val="22"/>
        </w:rPr>
        <w:t>Accordingly, BEPPs contain limited or no information on alternate funding options aside from grants and borrowings. Whilst some metros indicate that a portion of the funding requirements for catalytic projects will be provided for through internal funding, there is a general absence of designing innovative solutions to address this challenge.</w:t>
      </w:r>
    </w:p>
    <w:p w:rsidR="00ED661D" w:rsidRPr="00ED661D" w:rsidRDefault="00ED661D" w:rsidP="00ED661D">
      <w:pPr>
        <w:autoSpaceDE w:val="0"/>
        <w:autoSpaceDN w:val="0"/>
        <w:adjustRightInd w:val="0"/>
        <w:rPr>
          <w:rFonts w:cs="Arial"/>
          <w:szCs w:val="22"/>
        </w:rPr>
      </w:pPr>
    </w:p>
    <w:p w:rsidR="00ED661D" w:rsidRPr="00ED661D" w:rsidRDefault="00ED661D" w:rsidP="00665E99">
      <w:pPr>
        <w:numPr>
          <w:ilvl w:val="0"/>
          <w:numId w:val="24"/>
        </w:numPr>
        <w:autoSpaceDE w:val="0"/>
        <w:autoSpaceDN w:val="0"/>
        <w:adjustRightInd w:val="0"/>
        <w:rPr>
          <w:rFonts w:cs="Arial"/>
          <w:b/>
          <w:szCs w:val="22"/>
        </w:rPr>
      </w:pPr>
      <w:r w:rsidRPr="00ED661D">
        <w:rPr>
          <w:rFonts w:cs="Arial"/>
          <w:b/>
          <w:szCs w:val="22"/>
        </w:rPr>
        <w:t>Significant Dependence on Grant Funding</w:t>
      </w:r>
    </w:p>
    <w:p w:rsidR="00ED661D" w:rsidRPr="00ED661D" w:rsidRDefault="00ED661D" w:rsidP="00ED661D">
      <w:pPr>
        <w:autoSpaceDE w:val="0"/>
        <w:autoSpaceDN w:val="0"/>
        <w:adjustRightInd w:val="0"/>
        <w:rPr>
          <w:rFonts w:cs="Arial"/>
          <w:szCs w:val="22"/>
        </w:rPr>
      </w:pPr>
      <w:r w:rsidRPr="00ED661D">
        <w:rPr>
          <w:rFonts w:cs="Arial"/>
          <w:szCs w:val="22"/>
        </w:rPr>
        <w:t>Metros traditionally utilise three sources of funding being grant funding, borrowings; and internal funding (including own revenues and public contributions). As is evident from the graph below, 31% to 87% of capital projects are financed through grant funding; whilst borrowings account for 0% (BCMM and NMBMM) to as much as 45%, with internal funding constitutes between 5% to 33% of total funding requirements</w:t>
      </w:r>
    </w:p>
    <w:p w:rsidR="00ED661D" w:rsidRPr="00ED661D" w:rsidRDefault="00ED661D" w:rsidP="00ED661D">
      <w:pPr>
        <w:autoSpaceDE w:val="0"/>
        <w:autoSpaceDN w:val="0"/>
        <w:adjustRightInd w:val="0"/>
        <w:rPr>
          <w:rFonts w:cs="Arial"/>
          <w:szCs w:val="22"/>
        </w:rPr>
      </w:pPr>
    </w:p>
    <w:p w:rsidR="00055E6E" w:rsidRDefault="00055E6E" w:rsidP="00055E6E">
      <w:pPr>
        <w:rPr>
          <w:rFonts w:cs="Arial"/>
          <w:szCs w:val="22"/>
        </w:rPr>
      </w:pPr>
      <w:r w:rsidRPr="00055E6E">
        <w:rPr>
          <w:rFonts w:cs="Arial"/>
          <w:szCs w:val="22"/>
        </w:rPr>
        <w:t xml:space="preserve"> </w:t>
      </w:r>
    </w:p>
    <w:p w:rsidR="00ED661D" w:rsidRDefault="00ED661D" w:rsidP="00ED661D">
      <w:pPr>
        <w:jc w:val="center"/>
        <w:rPr>
          <w:rFonts w:cs="Arial"/>
          <w:szCs w:val="22"/>
        </w:rPr>
      </w:pPr>
      <w:r>
        <w:rPr>
          <w:noProof/>
          <w:color w:val="0F243E" w:themeColor="text2" w:themeShade="80"/>
          <w:lang w:eastAsia="en-ZA"/>
        </w:rPr>
        <w:lastRenderedPageBreak/>
        <w:drawing>
          <wp:inline distT="0" distB="0" distL="0" distR="0" wp14:anchorId="18ECE1A9" wp14:editId="5299C418">
            <wp:extent cx="5433060" cy="34874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9419" cy="3491561"/>
                    </a:xfrm>
                    <a:prstGeom prst="rect">
                      <a:avLst/>
                    </a:prstGeom>
                    <a:noFill/>
                  </pic:spPr>
                </pic:pic>
              </a:graphicData>
            </a:graphic>
          </wp:inline>
        </w:drawing>
      </w:r>
    </w:p>
    <w:p w:rsidR="00ED661D" w:rsidRDefault="00ED661D" w:rsidP="00055E6E">
      <w:pPr>
        <w:rPr>
          <w:rFonts w:cs="Arial"/>
          <w:szCs w:val="22"/>
        </w:rPr>
      </w:pPr>
    </w:p>
    <w:p w:rsidR="00ED661D" w:rsidRPr="00ED661D" w:rsidRDefault="00ED661D" w:rsidP="00ED661D">
      <w:pPr>
        <w:rPr>
          <w:rFonts w:cs="Arial"/>
          <w:szCs w:val="22"/>
        </w:rPr>
      </w:pPr>
      <w:r w:rsidRPr="00ED661D">
        <w:rPr>
          <w:rFonts w:cs="Arial"/>
          <w:szCs w:val="22"/>
        </w:rPr>
        <w:t>SA Metros’ borrowing exposure as at June 2014 was as follows:</w:t>
      </w:r>
    </w:p>
    <w:tbl>
      <w:tblPr>
        <w:tblStyle w:val="TableGrid"/>
        <w:tblW w:w="8505" w:type="dxa"/>
        <w:tblInd w:w="421" w:type="dxa"/>
        <w:tblLook w:val="04A0" w:firstRow="1" w:lastRow="0" w:firstColumn="1" w:lastColumn="0" w:noHBand="0" w:noVBand="1"/>
      </w:tblPr>
      <w:tblGrid>
        <w:gridCol w:w="4087"/>
        <w:gridCol w:w="4418"/>
      </w:tblGrid>
      <w:tr w:rsidR="00ED661D" w:rsidRPr="00ED661D" w:rsidTr="00634AD8">
        <w:tc>
          <w:tcPr>
            <w:tcW w:w="4087" w:type="dxa"/>
            <w:shd w:val="clear" w:color="auto" w:fill="FABF8F" w:themeFill="accent6" w:themeFillTint="99"/>
            <w:vAlign w:val="center"/>
          </w:tcPr>
          <w:p w:rsidR="00ED661D" w:rsidRPr="00ED661D" w:rsidRDefault="00ED661D" w:rsidP="00ED661D">
            <w:pPr>
              <w:jc w:val="center"/>
              <w:rPr>
                <w:rFonts w:cs="Arial"/>
                <w:b/>
                <w:szCs w:val="22"/>
              </w:rPr>
            </w:pPr>
            <w:r w:rsidRPr="00ED661D">
              <w:rPr>
                <w:rFonts w:cs="Arial"/>
                <w:b/>
                <w:szCs w:val="22"/>
              </w:rPr>
              <w:t>Metro</w:t>
            </w:r>
          </w:p>
        </w:tc>
        <w:tc>
          <w:tcPr>
            <w:tcW w:w="4418" w:type="dxa"/>
            <w:shd w:val="clear" w:color="auto" w:fill="FABF8F" w:themeFill="accent6" w:themeFillTint="99"/>
            <w:vAlign w:val="center"/>
          </w:tcPr>
          <w:p w:rsidR="00ED661D" w:rsidRPr="00ED661D" w:rsidRDefault="00ED661D" w:rsidP="00ED661D">
            <w:pPr>
              <w:jc w:val="center"/>
              <w:rPr>
                <w:rFonts w:cs="Arial"/>
                <w:b/>
                <w:szCs w:val="22"/>
              </w:rPr>
            </w:pPr>
            <w:r w:rsidRPr="00ED661D">
              <w:rPr>
                <w:rFonts w:cs="Arial"/>
                <w:b/>
                <w:szCs w:val="22"/>
              </w:rPr>
              <w:t>Debt (borrowings exposure)</w:t>
            </w:r>
          </w:p>
          <w:p w:rsidR="00ED661D" w:rsidRPr="00ED661D" w:rsidRDefault="00ED661D" w:rsidP="00ED661D">
            <w:pPr>
              <w:jc w:val="center"/>
              <w:rPr>
                <w:rFonts w:cs="Arial"/>
                <w:b/>
                <w:szCs w:val="22"/>
              </w:rPr>
            </w:pPr>
            <w:r w:rsidRPr="00ED661D">
              <w:rPr>
                <w:rFonts w:cs="Arial"/>
                <w:b/>
                <w:szCs w:val="22"/>
              </w:rPr>
              <w:t>Norm: 40-45%</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Buffalo City</w:t>
            </w:r>
          </w:p>
        </w:tc>
        <w:tc>
          <w:tcPr>
            <w:tcW w:w="4418" w:type="dxa"/>
          </w:tcPr>
          <w:p w:rsidR="00ED661D" w:rsidRPr="00ED661D" w:rsidRDefault="00ED661D" w:rsidP="00ED661D">
            <w:pPr>
              <w:jc w:val="center"/>
              <w:rPr>
                <w:rFonts w:cs="Arial"/>
                <w:szCs w:val="22"/>
              </w:rPr>
            </w:pPr>
            <w:r w:rsidRPr="00ED661D">
              <w:rPr>
                <w:rFonts w:cs="Arial"/>
                <w:szCs w:val="22"/>
              </w:rPr>
              <w:t>14%</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 xml:space="preserve">Cape Town </w:t>
            </w:r>
          </w:p>
        </w:tc>
        <w:tc>
          <w:tcPr>
            <w:tcW w:w="4418" w:type="dxa"/>
          </w:tcPr>
          <w:p w:rsidR="00ED661D" w:rsidRPr="00ED661D" w:rsidRDefault="00ED661D" w:rsidP="00ED661D">
            <w:pPr>
              <w:jc w:val="center"/>
              <w:rPr>
                <w:rFonts w:cs="Arial"/>
                <w:szCs w:val="22"/>
              </w:rPr>
            </w:pPr>
            <w:r w:rsidRPr="00ED661D">
              <w:rPr>
                <w:rFonts w:cs="Arial"/>
                <w:szCs w:val="22"/>
              </w:rPr>
              <w:t>26%</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Johannesburg</w:t>
            </w:r>
          </w:p>
        </w:tc>
        <w:tc>
          <w:tcPr>
            <w:tcW w:w="4418" w:type="dxa"/>
          </w:tcPr>
          <w:p w:rsidR="00ED661D" w:rsidRPr="00ED661D" w:rsidRDefault="00ED661D" w:rsidP="00ED661D">
            <w:pPr>
              <w:jc w:val="center"/>
              <w:rPr>
                <w:rFonts w:cs="Arial"/>
                <w:szCs w:val="22"/>
              </w:rPr>
            </w:pPr>
            <w:r w:rsidRPr="00ED661D">
              <w:rPr>
                <w:rFonts w:cs="Arial"/>
                <w:szCs w:val="22"/>
              </w:rPr>
              <w:t>38%</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Ekurhuleni</w:t>
            </w:r>
          </w:p>
        </w:tc>
        <w:tc>
          <w:tcPr>
            <w:tcW w:w="4418" w:type="dxa"/>
          </w:tcPr>
          <w:p w:rsidR="00ED661D" w:rsidRPr="00ED661D" w:rsidRDefault="00ED661D" w:rsidP="00ED661D">
            <w:pPr>
              <w:jc w:val="center"/>
              <w:rPr>
                <w:rFonts w:cs="Arial"/>
                <w:szCs w:val="22"/>
              </w:rPr>
            </w:pPr>
            <w:r w:rsidRPr="00ED661D">
              <w:rPr>
                <w:rFonts w:cs="Arial"/>
                <w:szCs w:val="22"/>
              </w:rPr>
              <w:t>27%</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eThekwini</w:t>
            </w:r>
          </w:p>
        </w:tc>
        <w:tc>
          <w:tcPr>
            <w:tcW w:w="4418" w:type="dxa"/>
          </w:tcPr>
          <w:p w:rsidR="00ED661D" w:rsidRPr="00ED661D" w:rsidRDefault="00ED661D" w:rsidP="00ED661D">
            <w:pPr>
              <w:jc w:val="center"/>
              <w:rPr>
                <w:rFonts w:cs="Arial"/>
                <w:szCs w:val="22"/>
              </w:rPr>
            </w:pPr>
            <w:r w:rsidRPr="00ED661D">
              <w:rPr>
                <w:rFonts w:cs="Arial"/>
                <w:szCs w:val="22"/>
              </w:rPr>
              <w:t>46%</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Mangaung</w:t>
            </w:r>
          </w:p>
        </w:tc>
        <w:tc>
          <w:tcPr>
            <w:tcW w:w="4418" w:type="dxa"/>
          </w:tcPr>
          <w:p w:rsidR="00ED661D" w:rsidRPr="00ED661D" w:rsidRDefault="00ED661D" w:rsidP="00ED661D">
            <w:pPr>
              <w:jc w:val="center"/>
              <w:rPr>
                <w:rFonts w:cs="Arial"/>
                <w:szCs w:val="22"/>
              </w:rPr>
            </w:pPr>
            <w:r w:rsidRPr="00ED661D">
              <w:rPr>
                <w:rFonts w:cs="Arial"/>
                <w:szCs w:val="22"/>
              </w:rPr>
              <w:t>13%</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Nelson Mandela Bay</w:t>
            </w:r>
          </w:p>
        </w:tc>
        <w:tc>
          <w:tcPr>
            <w:tcW w:w="4418" w:type="dxa"/>
          </w:tcPr>
          <w:p w:rsidR="00ED661D" w:rsidRPr="00ED661D" w:rsidRDefault="00ED661D" w:rsidP="00ED661D">
            <w:pPr>
              <w:jc w:val="center"/>
              <w:rPr>
                <w:rFonts w:cs="Arial"/>
                <w:szCs w:val="22"/>
              </w:rPr>
            </w:pPr>
            <w:r w:rsidRPr="00ED661D">
              <w:rPr>
                <w:rFonts w:cs="Arial"/>
                <w:szCs w:val="22"/>
              </w:rPr>
              <w:t>27%</w:t>
            </w:r>
          </w:p>
        </w:tc>
      </w:tr>
      <w:tr w:rsidR="00ED661D" w:rsidRPr="00ED661D" w:rsidTr="00634AD8">
        <w:tc>
          <w:tcPr>
            <w:tcW w:w="4087" w:type="dxa"/>
          </w:tcPr>
          <w:p w:rsidR="00ED661D" w:rsidRPr="00ED661D" w:rsidRDefault="00ED661D" w:rsidP="00ED661D">
            <w:pPr>
              <w:rPr>
                <w:rFonts w:cs="Arial"/>
                <w:szCs w:val="22"/>
              </w:rPr>
            </w:pPr>
            <w:r w:rsidRPr="00ED661D">
              <w:rPr>
                <w:rFonts w:cs="Arial"/>
                <w:szCs w:val="22"/>
              </w:rPr>
              <w:t>Tshwane</w:t>
            </w:r>
          </w:p>
        </w:tc>
        <w:tc>
          <w:tcPr>
            <w:tcW w:w="4418" w:type="dxa"/>
          </w:tcPr>
          <w:p w:rsidR="00ED661D" w:rsidRPr="00ED661D" w:rsidRDefault="00ED661D" w:rsidP="00ED661D">
            <w:pPr>
              <w:jc w:val="center"/>
              <w:rPr>
                <w:rFonts w:cs="Arial"/>
                <w:szCs w:val="22"/>
              </w:rPr>
            </w:pPr>
            <w:r w:rsidRPr="00ED661D">
              <w:rPr>
                <w:rFonts w:cs="Arial"/>
                <w:szCs w:val="22"/>
              </w:rPr>
              <w:t>45%</w:t>
            </w:r>
          </w:p>
        </w:tc>
      </w:tr>
    </w:tbl>
    <w:p w:rsidR="00ED661D" w:rsidRDefault="00ED661D" w:rsidP="00634AD8">
      <w:pPr>
        <w:ind w:firstLine="720"/>
        <w:rPr>
          <w:rFonts w:cs="Arial"/>
          <w:i/>
          <w:sz w:val="18"/>
          <w:szCs w:val="18"/>
        </w:rPr>
      </w:pPr>
      <w:r w:rsidRPr="00ED661D">
        <w:rPr>
          <w:rFonts w:cs="Arial"/>
          <w:i/>
          <w:sz w:val="18"/>
          <w:szCs w:val="18"/>
        </w:rPr>
        <w:t>*Source: National Treasury</w:t>
      </w:r>
    </w:p>
    <w:p w:rsidR="003437B8" w:rsidRPr="00ED661D" w:rsidRDefault="003437B8" w:rsidP="00ED661D">
      <w:pPr>
        <w:rPr>
          <w:rFonts w:cs="Arial"/>
          <w:i/>
          <w:sz w:val="18"/>
          <w:szCs w:val="18"/>
        </w:rPr>
      </w:pPr>
    </w:p>
    <w:p w:rsidR="00ED661D" w:rsidRDefault="00ED661D" w:rsidP="00ED661D">
      <w:pPr>
        <w:rPr>
          <w:rFonts w:cs="Arial"/>
          <w:szCs w:val="22"/>
        </w:rPr>
      </w:pPr>
      <w:r w:rsidRPr="00ED661D">
        <w:rPr>
          <w:rFonts w:cs="Arial"/>
          <w:szCs w:val="22"/>
        </w:rPr>
        <w:t>According to the table above, 25% of the cities have been “over-exposed” in terms on borrowings, or have reached the 40-45% norm on borrowing. 75% of the metros still have an opportunity to borrow and invest on urban infrastructure through different instruments. It is evident from the above data that City of Tshwane and eThekwini may have reached their borrowings norm (above 40-45%). This may not necessarily mean that the two cities cannot embark on any borrowing process, but it may be that there is a lack of a long term financing strategy that may unlock other funding alternatives in the future. However, N</w:t>
      </w:r>
      <w:r w:rsidR="003437B8">
        <w:rPr>
          <w:rFonts w:cs="Arial"/>
          <w:szCs w:val="22"/>
        </w:rPr>
        <w:t xml:space="preserve">ational </w:t>
      </w:r>
      <w:r w:rsidRPr="00ED661D">
        <w:rPr>
          <w:rFonts w:cs="Arial"/>
          <w:szCs w:val="22"/>
        </w:rPr>
        <w:t>T</w:t>
      </w:r>
      <w:r w:rsidR="003437B8">
        <w:rPr>
          <w:rFonts w:cs="Arial"/>
          <w:szCs w:val="22"/>
        </w:rPr>
        <w:t>reasury</w:t>
      </w:r>
      <w:r w:rsidRPr="00ED661D">
        <w:rPr>
          <w:rFonts w:cs="Arial"/>
          <w:szCs w:val="22"/>
        </w:rPr>
        <w:t xml:space="preserve"> </w:t>
      </w:r>
      <w:r w:rsidRPr="00ED661D">
        <w:rPr>
          <w:rFonts w:cs="Arial"/>
          <w:szCs w:val="22"/>
        </w:rPr>
        <w:lastRenderedPageBreak/>
        <w:t>has emphasised that what metros borrow for, should be for revenue generating infrastructure that will further enhance their financial standing.</w:t>
      </w:r>
    </w:p>
    <w:p w:rsidR="003437B8" w:rsidRPr="00ED661D" w:rsidRDefault="003437B8" w:rsidP="00ED661D">
      <w:pPr>
        <w:rPr>
          <w:rFonts w:cs="Arial"/>
          <w:szCs w:val="22"/>
        </w:rPr>
      </w:pPr>
    </w:p>
    <w:p w:rsidR="00875381" w:rsidRDefault="00ED661D" w:rsidP="00875381">
      <w:pPr>
        <w:rPr>
          <w:rFonts w:cs="Arial"/>
          <w:szCs w:val="22"/>
        </w:rPr>
      </w:pPr>
      <w:r w:rsidRPr="00ED661D">
        <w:rPr>
          <w:rFonts w:cs="Arial"/>
          <w:szCs w:val="22"/>
        </w:rPr>
        <w:t>In the 2015/16 BEPPs, there was very little indication of project financing for the pipeline of catalytic projects. Most of the BEPPs listed the projects but failed to indicate the funding model for same. Furthermore, there were inconsistencies between the funding provided in the BEPP and funding information provided in other planning and budgeting instruments such as the MTREF budget.</w:t>
      </w:r>
      <w:r w:rsidR="00875381">
        <w:rPr>
          <w:rFonts w:cs="Arial"/>
          <w:szCs w:val="22"/>
        </w:rPr>
        <w:t xml:space="preserve"> </w:t>
      </w:r>
    </w:p>
    <w:p w:rsidR="00875381" w:rsidRDefault="00875381" w:rsidP="00875381">
      <w:pPr>
        <w:rPr>
          <w:rFonts w:cs="Arial"/>
          <w:szCs w:val="22"/>
        </w:rPr>
      </w:pPr>
    </w:p>
    <w:p w:rsidR="004E261A" w:rsidRDefault="004E261A" w:rsidP="00875381">
      <w:pPr>
        <w:pStyle w:val="Heading3"/>
        <w:numPr>
          <w:ilvl w:val="1"/>
          <w:numId w:val="6"/>
        </w:numPr>
        <w:rPr>
          <w:szCs w:val="32"/>
        </w:rPr>
      </w:pPr>
      <w:bookmarkStart w:id="4" w:name="_Toc455995459"/>
      <w:r w:rsidRPr="00087B82">
        <w:rPr>
          <w:szCs w:val="32"/>
        </w:rPr>
        <w:t>Objective</w:t>
      </w:r>
      <w:r w:rsidR="00F94ECB" w:rsidRPr="00087B82">
        <w:rPr>
          <w:szCs w:val="32"/>
        </w:rPr>
        <w:t>s</w:t>
      </w:r>
      <w:bookmarkEnd w:id="4"/>
    </w:p>
    <w:p w:rsidR="00875381" w:rsidRDefault="003437B8" w:rsidP="00875381">
      <w:pPr>
        <w:rPr>
          <w:rFonts w:cs="Arial"/>
          <w:szCs w:val="22"/>
        </w:rPr>
      </w:pPr>
      <w:r>
        <w:rPr>
          <w:rFonts w:cs="Arial"/>
          <w:szCs w:val="22"/>
          <w:lang w:val="en-GB"/>
        </w:rPr>
        <w:t xml:space="preserve">The </w:t>
      </w:r>
      <w:r w:rsidR="00D70405">
        <w:rPr>
          <w:rFonts w:cs="Arial"/>
          <w:szCs w:val="22"/>
          <w:lang w:val="en-GB"/>
        </w:rPr>
        <w:t>aim</w:t>
      </w:r>
      <w:r w:rsidR="00F94ECB">
        <w:rPr>
          <w:rFonts w:cs="Arial"/>
          <w:szCs w:val="22"/>
          <w:lang w:val="en-GB"/>
        </w:rPr>
        <w:t xml:space="preserve"> of this evaluation </w:t>
      </w:r>
      <w:r>
        <w:rPr>
          <w:rFonts w:cs="Arial"/>
          <w:szCs w:val="22"/>
          <w:lang w:val="en-GB"/>
        </w:rPr>
        <w:t>is to evaluate</w:t>
      </w:r>
      <w:r w:rsidRPr="003437B8">
        <w:rPr>
          <w:rFonts w:cs="Arial"/>
          <w:szCs w:val="22"/>
          <w:lang w:val="en-GB"/>
        </w:rPr>
        <w:t>/assess</w:t>
      </w:r>
      <w:r>
        <w:rPr>
          <w:rFonts w:cs="Arial"/>
          <w:szCs w:val="22"/>
          <w:lang w:val="en-GB"/>
        </w:rPr>
        <w:t xml:space="preserve"> </w:t>
      </w:r>
      <w:r w:rsidRPr="003437B8">
        <w:rPr>
          <w:rFonts w:cs="Arial"/>
          <w:szCs w:val="22"/>
          <w:lang w:val="en-GB"/>
        </w:rPr>
        <w:t>the draft 2016/17 Metro BEPPs</w:t>
      </w:r>
      <w:r w:rsidR="00D70405">
        <w:rPr>
          <w:rFonts w:cs="Arial"/>
          <w:szCs w:val="22"/>
          <w:lang w:val="en-GB"/>
        </w:rPr>
        <w:t xml:space="preserve">. </w:t>
      </w:r>
      <w:r w:rsidR="00D70405" w:rsidRPr="00D70405">
        <w:rPr>
          <w:rFonts w:cs="Arial"/>
          <w:szCs w:val="22"/>
        </w:rPr>
        <w:t>The main objective</w:t>
      </w:r>
      <w:r w:rsidR="00D70405">
        <w:rPr>
          <w:rFonts w:cs="Arial"/>
          <w:szCs w:val="22"/>
        </w:rPr>
        <w:t>s of the evaluation are</w:t>
      </w:r>
      <w:r w:rsidR="00D70405" w:rsidRPr="00D70405">
        <w:rPr>
          <w:rFonts w:cs="Arial"/>
          <w:szCs w:val="22"/>
        </w:rPr>
        <w:t>:</w:t>
      </w:r>
    </w:p>
    <w:p w:rsidR="00875381" w:rsidRPr="00875381" w:rsidRDefault="00D70405" w:rsidP="00665E99">
      <w:pPr>
        <w:pStyle w:val="ListParagraph"/>
        <w:numPr>
          <w:ilvl w:val="0"/>
          <w:numId w:val="24"/>
        </w:numPr>
        <w:rPr>
          <w:rFonts w:cs="Arial"/>
          <w:szCs w:val="22"/>
        </w:rPr>
      </w:pPr>
      <w:r w:rsidRPr="00875381">
        <w:rPr>
          <w:rFonts w:cs="Arial"/>
          <w:szCs w:val="22"/>
        </w:rPr>
        <w:t>To identify what financial information is missing from the BEPPs (information that would attract funders and private investors to invest in the BEPP Project pipeline);</w:t>
      </w:r>
    </w:p>
    <w:p w:rsidR="00875381" w:rsidRPr="00875381" w:rsidRDefault="00D70405" w:rsidP="00665E99">
      <w:pPr>
        <w:pStyle w:val="ListParagraph"/>
        <w:numPr>
          <w:ilvl w:val="0"/>
          <w:numId w:val="24"/>
        </w:numPr>
        <w:rPr>
          <w:rFonts w:cs="Arial"/>
          <w:szCs w:val="22"/>
        </w:rPr>
      </w:pPr>
      <w:r w:rsidRPr="00875381">
        <w:rPr>
          <w:rFonts w:cs="Arial"/>
          <w:szCs w:val="22"/>
        </w:rPr>
        <w:t>To make recommendations of what key information should be reflected in the 2017/18 BEPPs to improve the financial closure of the BEPP (to be financeable and bankable);</w:t>
      </w:r>
    </w:p>
    <w:p w:rsidR="00875381" w:rsidRPr="00875381" w:rsidRDefault="00D70405" w:rsidP="00665E99">
      <w:pPr>
        <w:pStyle w:val="ListParagraph"/>
        <w:numPr>
          <w:ilvl w:val="0"/>
          <w:numId w:val="24"/>
        </w:numPr>
        <w:rPr>
          <w:rFonts w:cs="Arial"/>
          <w:szCs w:val="22"/>
        </w:rPr>
      </w:pPr>
      <w:r w:rsidRPr="00875381">
        <w:rPr>
          <w:rFonts w:cs="Arial"/>
          <w:szCs w:val="22"/>
        </w:rPr>
        <w:t>To make inputs towards the improvement of the 2017/18 BEPP guidelines (financial component); and</w:t>
      </w:r>
    </w:p>
    <w:p w:rsidR="00D70405" w:rsidRDefault="00D70405" w:rsidP="00665E99">
      <w:pPr>
        <w:pStyle w:val="ListParagraph"/>
        <w:numPr>
          <w:ilvl w:val="0"/>
          <w:numId w:val="24"/>
        </w:numPr>
        <w:rPr>
          <w:rFonts w:cs="Arial"/>
          <w:szCs w:val="22"/>
        </w:rPr>
      </w:pPr>
      <w:r w:rsidRPr="00875381">
        <w:rPr>
          <w:rFonts w:cs="Arial"/>
          <w:szCs w:val="22"/>
        </w:rPr>
        <w:t xml:space="preserve">To rate the quality of </w:t>
      </w:r>
      <w:r w:rsidR="0054199C">
        <w:rPr>
          <w:rFonts w:cs="Arial"/>
          <w:szCs w:val="22"/>
        </w:rPr>
        <w:t>the BEPPs per metro on a scale o</w:t>
      </w:r>
      <w:r w:rsidRPr="00875381">
        <w:rPr>
          <w:rFonts w:cs="Arial"/>
          <w:szCs w:val="22"/>
        </w:rPr>
        <w:t>f 1-4</w:t>
      </w:r>
    </w:p>
    <w:p w:rsidR="00341B15" w:rsidRDefault="00341B15" w:rsidP="00875381">
      <w:pPr>
        <w:rPr>
          <w:rFonts w:cs="Arial"/>
          <w:szCs w:val="22"/>
        </w:rPr>
      </w:pPr>
    </w:p>
    <w:p w:rsidR="00875381" w:rsidRDefault="00875381" w:rsidP="00875381">
      <w:pPr>
        <w:rPr>
          <w:rFonts w:cs="Arial"/>
          <w:szCs w:val="22"/>
        </w:rPr>
      </w:pPr>
      <w:r>
        <w:rPr>
          <w:rFonts w:cs="Arial"/>
          <w:szCs w:val="22"/>
        </w:rPr>
        <w:t>This is summarised as follows:</w:t>
      </w:r>
    </w:p>
    <w:p w:rsidR="00875381" w:rsidRDefault="00875381" w:rsidP="00875381">
      <w:pPr>
        <w:rPr>
          <w:rFonts w:cs="Arial"/>
          <w:szCs w:val="22"/>
        </w:rPr>
      </w:pPr>
      <w:r w:rsidRPr="007F6729">
        <w:rPr>
          <w:noProof/>
          <w:lang w:eastAsia="en-ZA"/>
        </w:rPr>
        <w:drawing>
          <wp:inline distT="0" distB="0" distL="0" distR="0" wp14:anchorId="7004B34B" wp14:editId="7F5F37A2">
            <wp:extent cx="5902960" cy="2790825"/>
            <wp:effectExtent l="19050" t="19050" r="2159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916" cy="2791750"/>
                    </a:xfrm>
                    <a:prstGeom prst="rect">
                      <a:avLst/>
                    </a:prstGeom>
                    <a:noFill/>
                    <a:ln>
                      <a:solidFill>
                        <a:schemeClr val="accent6">
                          <a:lumMod val="50000"/>
                        </a:schemeClr>
                      </a:solidFill>
                    </a:ln>
                  </pic:spPr>
                </pic:pic>
              </a:graphicData>
            </a:graphic>
          </wp:inline>
        </w:drawing>
      </w:r>
    </w:p>
    <w:p w:rsidR="00875381" w:rsidRPr="00D70405" w:rsidRDefault="00875381" w:rsidP="00875381">
      <w:pPr>
        <w:rPr>
          <w:rFonts w:cs="Arial"/>
          <w:szCs w:val="22"/>
        </w:rPr>
      </w:pPr>
    </w:p>
    <w:p w:rsidR="00F94ECB" w:rsidRDefault="00F94ECB" w:rsidP="00875381">
      <w:pPr>
        <w:pStyle w:val="Heading3"/>
        <w:numPr>
          <w:ilvl w:val="1"/>
          <w:numId w:val="6"/>
        </w:numPr>
        <w:rPr>
          <w:szCs w:val="32"/>
        </w:rPr>
      </w:pPr>
      <w:bookmarkStart w:id="5" w:name="_Toc455995460"/>
      <w:r w:rsidRPr="00087B82">
        <w:rPr>
          <w:szCs w:val="32"/>
        </w:rPr>
        <w:lastRenderedPageBreak/>
        <w:t>Scope</w:t>
      </w:r>
      <w:bookmarkEnd w:id="5"/>
    </w:p>
    <w:p w:rsidR="00CB70DF" w:rsidRPr="00CB70DF" w:rsidRDefault="00CB70DF" w:rsidP="00CB70DF">
      <w:r>
        <w:t>The scope of the evaluation is limited to the Capital Funding components of the BEPP, and relates directly to the Built Environment Value Chain</w:t>
      </w:r>
      <w:r w:rsidR="00341B15">
        <w:t xml:space="preserve"> (BEVC)</w:t>
      </w:r>
      <w:r>
        <w:t xml:space="preserve"> depicted below:</w:t>
      </w:r>
    </w:p>
    <w:p w:rsidR="00CB70DF" w:rsidRDefault="00CB70DF" w:rsidP="00D70405">
      <w:pPr>
        <w:spacing w:after="200" w:line="276" w:lineRule="auto"/>
        <w:rPr>
          <w:rFonts w:cs="Arial"/>
          <w:szCs w:val="22"/>
        </w:rPr>
      </w:pPr>
      <w:r>
        <w:rPr>
          <w:rFonts w:cs="Arial"/>
          <w:noProof/>
          <w:szCs w:val="22"/>
          <w:lang w:eastAsia="en-ZA"/>
        </w:rPr>
        <w:drawing>
          <wp:inline distT="0" distB="0" distL="0" distR="0" wp14:anchorId="02E63791" wp14:editId="54EE76F0">
            <wp:extent cx="5902286" cy="1781175"/>
            <wp:effectExtent l="19050" t="19050" r="2286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389" cy="1783922"/>
                    </a:xfrm>
                    <a:prstGeom prst="rect">
                      <a:avLst/>
                    </a:prstGeom>
                    <a:noFill/>
                    <a:ln>
                      <a:solidFill>
                        <a:schemeClr val="accent6">
                          <a:lumMod val="50000"/>
                        </a:schemeClr>
                      </a:solidFill>
                    </a:ln>
                  </pic:spPr>
                </pic:pic>
              </a:graphicData>
            </a:graphic>
          </wp:inline>
        </w:drawing>
      </w:r>
    </w:p>
    <w:p w:rsidR="00634AD8" w:rsidRDefault="00634AD8" w:rsidP="00D70405">
      <w:pPr>
        <w:spacing w:after="200" w:line="276" w:lineRule="auto"/>
        <w:rPr>
          <w:rFonts w:cs="Arial"/>
          <w:szCs w:val="22"/>
        </w:rPr>
      </w:pPr>
    </w:p>
    <w:p w:rsidR="00341B15" w:rsidRDefault="00341B15" w:rsidP="00D70405">
      <w:pPr>
        <w:spacing w:after="200" w:line="276" w:lineRule="auto"/>
        <w:rPr>
          <w:rFonts w:cs="Arial"/>
          <w:szCs w:val="22"/>
        </w:rPr>
      </w:pPr>
      <w:r>
        <w:rPr>
          <w:rFonts w:cs="Arial"/>
          <w:szCs w:val="22"/>
        </w:rPr>
        <w:t>The importance of addressing the capital financial and funding requirements within the BEVC is crucial without which metros will be able unable to implement their BEPPs as summarised below:</w:t>
      </w:r>
    </w:p>
    <w:p w:rsidR="00341B15" w:rsidRDefault="00341B15" w:rsidP="00D70405">
      <w:pPr>
        <w:spacing w:after="200" w:line="276" w:lineRule="auto"/>
        <w:rPr>
          <w:rFonts w:cs="Arial"/>
          <w:szCs w:val="22"/>
        </w:rPr>
      </w:pPr>
      <w:r>
        <w:rPr>
          <w:rFonts w:cs="Arial"/>
          <w:noProof/>
          <w:szCs w:val="22"/>
          <w:lang w:eastAsia="en-ZA"/>
        </w:rPr>
        <w:drawing>
          <wp:inline distT="0" distB="0" distL="0" distR="0" wp14:anchorId="5B55B70B" wp14:editId="025C1A62">
            <wp:extent cx="5904230" cy="1776653"/>
            <wp:effectExtent l="19050" t="19050" r="20320" b="146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230" cy="1776653"/>
                    </a:xfrm>
                    <a:prstGeom prst="rect">
                      <a:avLst/>
                    </a:prstGeom>
                    <a:noFill/>
                    <a:ln>
                      <a:solidFill>
                        <a:schemeClr val="accent6">
                          <a:lumMod val="50000"/>
                        </a:schemeClr>
                      </a:solidFill>
                    </a:ln>
                  </pic:spPr>
                </pic:pic>
              </a:graphicData>
            </a:graphic>
          </wp:inline>
        </w:drawing>
      </w:r>
    </w:p>
    <w:p w:rsidR="00341B15" w:rsidRDefault="00341B15" w:rsidP="00D70405">
      <w:pPr>
        <w:spacing w:after="200" w:line="276" w:lineRule="auto"/>
        <w:rPr>
          <w:rFonts w:cs="Arial"/>
          <w:szCs w:val="22"/>
        </w:rPr>
      </w:pPr>
    </w:p>
    <w:p w:rsidR="00D70405" w:rsidRPr="00D70405" w:rsidRDefault="00D70405" w:rsidP="00D70405">
      <w:pPr>
        <w:spacing w:after="200" w:line="276" w:lineRule="auto"/>
        <w:rPr>
          <w:rFonts w:cs="Arial"/>
          <w:szCs w:val="22"/>
        </w:rPr>
      </w:pPr>
      <w:r w:rsidRPr="00D70405">
        <w:rPr>
          <w:rFonts w:cs="Arial"/>
          <w:szCs w:val="22"/>
        </w:rPr>
        <w:t>In the 2016/17 BEPP guidelines, reference has been made that the DBSA would conduct an annual technical desk-top evaluation of the Built Environment Performance Plans (BEPP) to assess how effectively BEPPs are financed at an institutional and project/programme pipeline level.</w:t>
      </w:r>
    </w:p>
    <w:p w:rsidR="00D70405" w:rsidRPr="00D70405" w:rsidRDefault="00D70405" w:rsidP="00D70405">
      <w:pPr>
        <w:spacing w:after="200" w:line="276" w:lineRule="auto"/>
        <w:rPr>
          <w:rFonts w:cs="Arial"/>
          <w:szCs w:val="22"/>
        </w:rPr>
      </w:pPr>
      <w:r w:rsidRPr="00D70405">
        <w:rPr>
          <w:rFonts w:cs="Arial"/>
          <w:szCs w:val="22"/>
        </w:rPr>
        <w:t>The criteria applied to conduct this evaluation is as follows:</w:t>
      </w:r>
    </w:p>
    <w:p w:rsidR="00D70405" w:rsidRPr="00D70405" w:rsidRDefault="00D70405" w:rsidP="00665E99">
      <w:pPr>
        <w:numPr>
          <w:ilvl w:val="0"/>
          <w:numId w:val="24"/>
        </w:numPr>
        <w:spacing w:after="200" w:line="276" w:lineRule="auto"/>
        <w:rPr>
          <w:rFonts w:cs="Arial"/>
          <w:szCs w:val="22"/>
        </w:rPr>
      </w:pPr>
      <w:r w:rsidRPr="00D70405">
        <w:rPr>
          <w:rFonts w:cs="Arial"/>
          <w:szCs w:val="22"/>
        </w:rPr>
        <w:t>City’s borrowing capacity and high level financial health</w:t>
      </w:r>
      <w:r>
        <w:rPr>
          <w:rFonts w:cs="Arial"/>
          <w:szCs w:val="22"/>
        </w:rPr>
        <w:t>;</w:t>
      </w:r>
      <w:r w:rsidRPr="00D70405">
        <w:rPr>
          <w:rFonts w:cs="Arial"/>
          <w:szCs w:val="22"/>
        </w:rPr>
        <w:t xml:space="preserve"> </w:t>
      </w:r>
    </w:p>
    <w:p w:rsidR="00D70405" w:rsidRPr="00D70405" w:rsidRDefault="00D70405" w:rsidP="00665E99">
      <w:pPr>
        <w:numPr>
          <w:ilvl w:val="0"/>
          <w:numId w:val="24"/>
        </w:numPr>
        <w:spacing w:after="200" w:line="276" w:lineRule="auto"/>
        <w:rPr>
          <w:rFonts w:cs="Arial"/>
          <w:szCs w:val="22"/>
        </w:rPr>
      </w:pPr>
      <w:r w:rsidRPr="00D70405">
        <w:rPr>
          <w:rFonts w:cs="Arial"/>
          <w:szCs w:val="22"/>
        </w:rPr>
        <w:t>Availability of a long term financing strategy for spatial transformation</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t>Project/programme pipeline detailed information (including status of projects)</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t>Estimated project costs/value</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t>Confirmed funding sources over the MTEF cycle</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lastRenderedPageBreak/>
        <w:t>Alternative funding sources</w:t>
      </w:r>
      <w:r>
        <w:rPr>
          <w:rFonts w:cs="Arial"/>
          <w:szCs w:val="22"/>
        </w:rPr>
        <w:t>,</w:t>
      </w:r>
      <w:r w:rsidRPr="00D70405">
        <w:rPr>
          <w:rFonts w:cs="Arial"/>
          <w:szCs w:val="22"/>
        </w:rPr>
        <w:t xml:space="preserve"> if any</w:t>
      </w:r>
      <w:r>
        <w:rPr>
          <w:rFonts w:cs="Arial"/>
          <w:szCs w:val="22"/>
        </w:rPr>
        <w:t>;</w:t>
      </w:r>
    </w:p>
    <w:p w:rsidR="00D70405" w:rsidRPr="00D70405" w:rsidRDefault="00D70405" w:rsidP="00665E99">
      <w:pPr>
        <w:numPr>
          <w:ilvl w:val="0"/>
          <w:numId w:val="24"/>
        </w:numPr>
        <w:spacing w:after="200" w:line="276" w:lineRule="auto"/>
        <w:rPr>
          <w:rFonts w:cs="Arial"/>
          <w:szCs w:val="22"/>
        </w:rPr>
      </w:pPr>
      <w:r w:rsidRPr="00D70405">
        <w:rPr>
          <w:rFonts w:cs="Arial"/>
          <w:szCs w:val="22"/>
        </w:rPr>
        <w:t>Projected potential revenue</w:t>
      </w:r>
      <w:r>
        <w:rPr>
          <w:rFonts w:cs="Arial"/>
          <w:szCs w:val="22"/>
        </w:rPr>
        <w:t>; and</w:t>
      </w:r>
    </w:p>
    <w:p w:rsidR="00D70405" w:rsidRDefault="00D70405" w:rsidP="00665E99">
      <w:pPr>
        <w:numPr>
          <w:ilvl w:val="0"/>
          <w:numId w:val="24"/>
        </w:numPr>
        <w:spacing w:after="200" w:line="276" w:lineRule="auto"/>
        <w:rPr>
          <w:rFonts w:cs="Arial"/>
          <w:szCs w:val="22"/>
        </w:rPr>
      </w:pPr>
      <w:r w:rsidRPr="00D70405">
        <w:rPr>
          <w:rFonts w:cs="Arial"/>
          <w:szCs w:val="22"/>
        </w:rPr>
        <w:t xml:space="preserve">Inter-governmental and sector plan alignment </w:t>
      </w:r>
    </w:p>
    <w:p w:rsidR="00341B15" w:rsidRDefault="00341B15" w:rsidP="00341B15">
      <w:pPr>
        <w:spacing w:after="200" w:line="276" w:lineRule="auto"/>
        <w:ind w:left="360"/>
        <w:rPr>
          <w:rFonts w:cs="Arial"/>
          <w:szCs w:val="22"/>
        </w:rPr>
      </w:pPr>
    </w:p>
    <w:p w:rsidR="00D84718" w:rsidRDefault="00247BF1" w:rsidP="00D84718">
      <w:pPr>
        <w:pStyle w:val="Heading3"/>
        <w:numPr>
          <w:ilvl w:val="1"/>
          <w:numId w:val="6"/>
        </w:numPr>
        <w:rPr>
          <w:szCs w:val="32"/>
        </w:rPr>
      </w:pPr>
      <w:bookmarkStart w:id="6" w:name="_Toc455995461"/>
      <w:r>
        <w:rPr>
          <w:szCs w:val="32"/>
        </w:rPr>
        <w:t>Progressive model</w:t>
      </w:r>
      <w:bookmarkEnd w:id="6"/>
    </w:p>
    <w:p w:rsidR="00D84718" w:rsidRPr="00D84718" w:rsidRDefault="00D84718" w:rsidP="00D84718">
      <w:r>
        <w:t>The current evaluation is a progression from that conducted in the previous cycles; and focuses specifically on the capital funding component of BEPPs as depicted in the figure below:</w:t>
      </w:r>
    </w:p>
    <w:p w:rsidR="00D84718" w:rsidRPr="00D84718" w:rsidRDefault="00D84718" w:rsidP="00D84718"/>
    <w:p w:rsidR="00D84718" w:rsidRDefault="00D84718" w:rsidP="00D84718">
      <w:r>
        <w:rPr>
          <w:noProof/>
          <w:lang w:eastAsia="en-ZA"/>
        </w:rPr>
        <w:drawing>
          <wp:inline distT="0" distB="0" distL="0" distR="0" wp14:anchorId="226CDEF8" wp14:editId="45B2A0DE">
            <wp:extent cx="5905500" cy="22764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2276475"/>
                    </a:xfrm>
                    <a:prstGeom prst="rect">
                      <a:avLst/>
                    </a:prstGeom>
                    <a:noFill/>
                    <a:ln>
                      <a:solidFill>
                        <a:schemeClr val="accent6">
                          <a:lumMod val="50000"/>
                        </a:schemeClr>
                      </a:solidFill>
                    </a:ln>
                  </pic:spPr>
                </pic:pic>
              </a:graphicData>
            </a:graphic>
          </wp:inline>
        </w:drawing>
      </w:r>
    </w:p>
    <w:p w:rsidR="00247BF1" w:rsidRDefault="00D84718" w:rsidP="00247BF1">
      <w:r w:rsidRPr="00247BF1">
        <w:t>The 2016/17 Medium Term Revenue and</w:t>
      </w:r>
      <w:r w:rsidR="00247BF1" w:rsidRPr="00247BF1">
        <w:t xml:space="preserve"> </w:t>
      </w:r>
      <w:r w:rsidRPr="00247BF1">
        <w:t xml:space="preserve">Expenditure Framework </w:t>
      </w:r>
      <w:r w:rsidR="00247BF1">
        <w:t>(MTREF) is the 3</w:t>
      </w:r>
      <w:r w:rsidR="00247BF1" w:rsidRPr="00247BF1">
        <w:rPr>
          <w:vertAlign w:val="superscript"/>
        </w:rPr>
        <w:t>rd</w:t>
      </w:r>
      <w:r w:rsidR="00247BF1">
        <w:t xml:space="preserve"> </w:t>
      </w:r>
      <w:r w:rsidRPr="00247BF1">
        <w:t>annual cycle of the built environment</w:t>
      </w:r>
      <w:r w:rsidR="00247BF1" w:rsidRPr="00247BF1">
        <w:t xml:space="preserve"> </w:t>
      </w:r>
      <w:r w:rsidRPr="00247BF1">
        <w:t>performance plans (BEPPs) and associated</w:t>
      </w:r>
      <w:r w:rsidR="00247BF1" w:rsidRPr="00247BF1">
        <w:t xml:space="preserve"> </w:t>
      </w:r>
      <w:r w:rsidRPr="00247BF1">
        <w:t>processes. The focus of the 2014/15 BEPP</w:t>
      </w:r>
      <w:r w:rsidR="00247BF1" w:rsidRPr="00247BF1">
        <w:t xml:space="preserve"> </w:t>
      </w:r>
      <w:r w:rsidRPr="00247BF1">
        <w:t>processes was on planning methodology for</w:t>
      </w:r>
      <w:r w:rsidR="00247BF1" w:rsidRPr="00247BF1">
        <w:t xml:space="preserve"> </w:t>
      </w:r>
      <w:r w:rsidRPr="00247BF1">
        <w:t>spatial transformation and in 201516 the</w:t>
      </w:r>
      <w:r w:rsidR="00247BF1" w:rsidRPr="00247BF1">
        <w:t xml:space="preserve"> </w:t>
      </w:r>
      <w:r w:rsidRPr="00247BF1">
        <w:t>focus shifted to packaging and accelerating</w:t>
      </w:r>
      <w:r w:rsidR="00247BF1" w:rsidRPr="00247BF1">
        <w:t xml:space="preserve"> </w:t>
      </w:r>
      <w:r w:rsidRPr="00247BF1">
        <w:t>the implementation of a pipeline of catalytic</w:t>
      </w:r>
      <w:r w:rsidR="00247BF1" w:rsidRPr="00247BF1">
        <w:t xml:space="preserve"> </w:t>
      </w:r>
      <w:r w:rsidRPr="00247BF1">
        <w:t>urban development projects within the</w:t>
      </w:r>
      <w:r w:rsidR="00247BF1" w:rsidRPr="00247BF1">
        <w:t xml:space="preserve"> </w:t>
      </w:r>
      <w:r w:rsidRPr="00247BF1">
        <w:t xml:space="preserve">integration zones. </w:t>
      </w:r>
    </w:p>
    <w:p w:rsidR="00247BF1" w:rsidRPr="00247BF1" w:rsidRDefault="00247BF1" w:rsidP="00247BF1"/>
    <w:p w:rsidR="00D84718" w:rsidRDefault="00D84718" w:rsidP="00247BF1">
      <w:r w:rsidRPr="00247BF1">
        <w:t>The work on defining the</w:t>
      </w:r>
      <w:r w:rsidR="00247BF1" w:rsidRPr="00247BF1">
        <w:t xml:space="preserve"> </w:t>
      </w:r>
      <w:r w:rsidRPr="00247BF1">
        <w:t>built environment outcomes and impacts,</w:t>
      </w:r>
      <w:r w:rsidR="00247BF1" w:rsidRPr="00247BF1">
        <w:t xml:space="preserve"> </w:t>
      </w:r>
      <w:r w:rsidRPr="00247BF1">
        <w:t>and the resultant indicators to measure</w:t>
      </w:r>
      <w:r w:rsidR="00247BF1" w:rsidRPr="00247BF1">
        <w:t xml:space="preserve"> </w:t>
      </w:r>
      <w:r w:rsidRPr="00247BF1">
        <w:t>spatial transformation started in 2013. In</w:t>
      </w:r>
      <w:r w:rsidR="00247BF1" w:rsidRPr="00247BF1">
        <w:t xml:space="preserve"> addition,</w:t>
      </w:r>
      <w:r w:rsidRPr="00247BF1">
        <w:t xml:space="preserve"> cities have spent time between</w:t>
      </w:r>
      <w:r w:rsidR="00247BF1" w:rsidRPr="00247BF1">
        <w:t xml:space="preserve"> </w:t>
      </w:r>
      <w:r w:rsidRPr="00247BF1">
        <w:t>2013 and 2014 working out what support</w:t>
      </w:r>
      <w:r w:rsidR="00247BF1" w:rsidRPr="00247BF1">
        <w:t xml:space="preserve"> </w:t>
      </w:r>
      <w:r w:rsidRPr="00247BF1">
        <w:t>they required from the Cities Support</w:t>
      </w:r>
      <w:r w:rsidR="00247BF1" w:rsidRPr="00247BF1">
        <w:t xml:space="preserve"> </w:t>
      </w:r>
      <w:r w:rsidRPr="00247BF1">
        <w:t>Programme to assist them to achieve their</w:t>
      </w:r>
      <w:r w:rsidR="00247BF1" w:rsidRPr="00247BF1">
        <w:t xml:space="preserve"> </w:t>
      </w:r>
      <w:r w:rsidRPr="00247BF1">
        <w:t>spatial targeting goals and objectives, and</w:t>
      </w:r>
      <w:r w:rsidR="00247BF1" w:rsidRPr="00247BF1">
        <w:t xml:space="preserve"> </w:t>
      </w:r>
      <w:r w:rsidRPr="00247BF1">
        <w:t>this is reflected in their City Support</w:t>
      </w:r>
      <w:r w:rsidR="00247BF1" w:rsidRPr="00247BF1">
        <w:t xml:space="preserve"> </w:t>
      </w:r>
      <w:r w:rsidRPr="00247BF1">
        <w:t>Implementation Plan (CSIP).</w:t>
      </w:r>
    </w:p>
    <w:p w:rsidR="00247BF1" w:rsidRPr="00247BF1" w:rsidRDefault="00247BF1" w:rsidP="00247BF1"/>
    <w:p w:rsidR="00087B82" w:rsidRDefault="00D84718" w:rsidP="00247BF1">
      <w:r w:rsidRPr="00247BF1">
        <w:t>The identification and planning of Urban</w:t>
      </w:r>
      <w:r w:rsidR="00247BF1" w:rsidRPr="00247BF1">
        <w:t xml:space="preserve"> </w:t>
      </w:r>
      <w:r w:rsidRPr="00247BF1">
        <w:t>Networks and Integration Zones was the key</w:t>
      </w:r>
      <w:r w:rsidR="00247BF1" w:rsidRPr="00247BF1">
        <w:t xml:space="preserve"> </w:t>
      </w:r>
      <w:r w:rsidRPr="00247BF1">
        <w:t>focus of the 2014/15 BEPP. Subsequently</w:t>
      </w:r>
      <w:r w:rsidR="00247BF1" w:rsidRPr="00247BF1">
        <w:t xml:space="preserve"> </w:t>
      </w:r>
      <w:r w:rsidRPr="00247BF1">
        <w:t>the 2015/16 BEPP guidelines encouraged</w:t>
      </w:r>
      <w:r w:rsidR="00247BF1" w:rsidRPr="00247BF1">
        <w:t xml:space="preserve"> </w:t>
      </w:r>
      <w:r w:rsidRPr="00247BF1">
        <w:t>the refinement and consolidation of the</w:t>
      </w:r>
      <w:r w:rsidR="00247BF1" w:rsidRPr="00247BF1">
        <w:t xml:space="preserve"> </w:t>
      </w:r>
      <w:r w:rsidRPr="00247BF1">
        <w:t>planning of urban networks and Integration</w:t>
      </w:r>
      <w:r w:rsidR="00247BF1" w:rsidRPr="00247BF1">
        <w:t xml:space="preserve"> </w:t>
      </w:r>
      <w:r w:rsidRPr="00247BF1">
        <w:t>Zones done the year before, and went a</w:t>
      </w:r>
      <w:r w:rsidR="00247BF1" w:rsidRPr="00247BF1">
        <w:t xml:space="preserve"> </w:t>
      </w:r>
      <w:r w:rsidRPr="00247BF1">
        <w:t>step further by requiring the identification,</w:t>
      </w:r>
      <w:r w:rsidR="00247BF1" w:rsidRPr="00247BF1">
        <w:t xml:space="preserve"> </w:t>
      </w:r>
      <w:r w:rsidRPr="00247BF1">
        <w:t xml:space="preserve">packaging and implementation of </w:t>
      </w:r>
      <w:r w:rsidRPr="00247BF1">
        <w:lastRenderedPageBreak/>
        <w:t>a pipeline</w:t>
      </w:r>
      <w:r w:rsidR="00247BF1" w:rsidRPr="00247BF1">
        <w:t xml:space="preserve"> </w:t>
      </w:r>
      <w:r w:rsidRPr="00247BF1">
        <w:t>of catalytic urban development projects</w:t>
      </w:r>
      <w:r w:rsidR="00247BF1" w:rsidRPr="00247BF1">
        <w:t xml:space="preserve"> </w:t>
      </w:r>
      <w:r w:rsidRPr="00247BF1">
        <w:t xml:space="preserve">within the Integration Zones. In </w:t>
      </w:r>
      <w:r w:rsidR="00247BF1" w:rsidRPr="00247BF1">
        <w:t xml:space="preserve">addition, </w:t>
      </w:r>
      <w:r w:rsidRPr="00247BF1">
        <w:t>there was a specific focus on the upgrading</w:t>
      </w:r>
      <w:r w:rsidR="00247BF1" w:rsidRPr="00247BF1">
        <w:t xml:space="preserve"> </w:t>
      </w:r>
      <w:r w:rsidRPr="00247BF1">
        <w:t>and development of informal settlements</w:t>
      </w:r>
      <w:r w:rsidR="00247BF1" w:rsidRPr="00247BF1">
        <w:t xml:space="preserve"> </w:t>
      </w:r>
      <w:r w:rsidRPr="00247BF1">
        <w:t>and other marginalised areas.</w:t>
      </w:r>
    </w:p>
    <w:p w:rsidR="00B539D4" w:rsidRDefault="00B539D4" w:rsidP="00247BF1"/>
    <w:p w:rsidR="00B539D4" w:rsidRDefault="00B539D4" w:rsidP="00247BF1">
      <w:r>
        <w:t>The key findings related to the capital funding aspects of the previous BEPPs are reflected below:</w:t>
      </w:r>
    </w:p>
    <w:p w:rsidR="00B539D4" w:rsidRDefault="00B539D4" w:rsidP="00247BF1"/>
    <w:p w:rsidR="00B539D4" w:rsidRDefault="00B539D4" w:rsidP="00247BF1">
      <w:r>
        <w:rPr>
          <w:noProof/>
          <w:lang w:eastAsia="en-ZA"/>
        </w:rPr>
        <w:drawing>
          <wp:inline distT="0" distB="0" distL="0" distR="0" wp14:anchorId="70D24E25" wp14:editId="4F0CD80D">
            <wp:extent cx="5922010" cy="2914650"/>
            <wp:effectExtent l="19050" t="19050" r="2159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2010" cy="2914650"/>
                    </a:xfrm>
                    <a:prstGeom prst="rect">
                      <a:avLst/>
                    </a:prstGeom>
                    <a:noFill/>
                    <a:ln>
                      <a:solidFill>
                        <a:schemeClr val="accent6">
                          <a:lumMod val="50000"/>
                        </a:schemeClr>
                      </a:solidFill>
                    </a:ln>
                  </pic:spPr>
                </pic:pic>
              </a:graphicData>
            </a:graphic>
          </wp:inline>
        </w:drawing>
      </w:r>
    </w:p>
    <w:p w:rsidR="0072018F" w:rsidRDefault="0072018F" w:rsidP="0072018F">
      <w:pPr>
        <w:spacing w:after="200" w:line="276" w:lineRule="auto"/>
        <w:jc w:val="left"/>
      </w:pPr>
    </w:p>
    <w:p w:rsidR="00341B15" w:rsidRDefault="0072018F" w:rsidP="0072018F">
      <w:pPr>
        <w:spacing w:after="200" w:line="276" w:lineRule="auto"/>
        <w:jc w:val="left"/>
      </w:pPr>
      <w:r>
        <w:t xml:space="preserve">These findings emphasise the need for metros to focus on the capital funding requirements to facilitate the achievement of the goals and objectives detailed in their respective BEPPs. </w:t>
      </w:r>
      <w:r w:rsidR="00341B15">
        <w:br w:type="page"/>
      </w:r>
    </w:p>
    <w:p w:rsidR="008D4800" w:rsidRPr="00430374" w:rsidRDefault="00C57269" w:rsidP="00634AD8">
      <w:pPr>
        <w:pStyle w:val="Heading3"/>
        <w:numPr>
          <w:ilvl w:val="0"/>
          <w:numId w:val="6"/>
        </w:numPr>
      </w:pPr>
      <w:bookmarkStart w:id="7" w:name="_Toc455995462"/>
      <w:r w:rsidRPr="00430374">
        <w:lastRenderedPageBreak/>
        <w:t>Approach</w:t>
      </w:r>
      <w:bookmarkEnd w:id="7"/>
    </w:p>
    <w:p w:rsidR="008D4800" w:rsidRDefault="008D4800" w:rsidP="008D4800">
      <w:pPr>
        <w:jc w:val="left"/>
      </w:pPr>
      <w:r>
        <w:t>The approach consisted of a desktop review of the following documents for each of the ei</w:t>
      </w:r>
      <w:r w:rsidR="007F6729">
        <w:t>ght metros, relating to the 2016/17 – 2018/19</w:t>
      </w:r>
      <w:r>
        <w:t xml:space="preserve"> MTREF period:</w:t>
      </w:r>
    </w:p>
    <w:p w:rsidR="008D4800" w:rsidRDefault="008D4800" w:rsidP="00665E99">
      <w:pPr>
        <w:pStyle w:val="ListParagraph"/>
        <w:numPr>
          <w:ilvl w:val="0"/>
          <w:numId w:val="12"/>
        </w:numPr>
        <w:jc w:val="left"/>
      </w:pPr>
      <w:r>
        <w:t>BEPP guidelines;</w:t>
      </w:r>
    </w:p>
    <w:p w:rsidR="008D4800" w:rsidRDefault="008D4800" w:rsidP="00665E99">
      <w:pPr>
        <w:pStyle w:val="ListParagraph"/>
        <w:numPr>
          <w:ilvl w:val="0"/>
          <w:numId w:val="12"/>
        </w:numPr>
        <w:jc w:val="left"/>
      </w:pPr>
      <w:r>
        <w:t>BEPP;</w:t>
      </w:r>
    </w:p>
    <w:p w:rsidR="008D4800" w:rsidRDefault="00662B8B" w:rsidP="00665E99">
      <w:pPr>
        <w:pStyle w:val="ListParagraph"/>
        <w:numPr>
          <w:ilvl w:val="0"/>
          <w:numId w:val="12"/>
        </w:numPr>
        <w:jc w:val="left"/>
      </w:pPr>
      <w:r>
        <w:t>SDBIP (limited to Schedule SA8)</w:t>
      </w:r>
    </w:p>
    <w:p w:rsidR="008D4800" w:rsidRDefault="008D4800" w:rsidP="00665E99">
      <w:pPr>
        <w:pStyle w:val="ListParagraph"/>
        <w:numPr>
          <w:ilvl w:val="0"/>
          <w:numId w:val="12"/>
        </w:numPr>
        <w:jc w:val="left"/>
      </w:pPr>
      <w:r>
        <w:t>Budgets; and</w:t>
      </w:r>
    </w:p>
    <w:p w:rsidR="008D4800" w:rsidRDefault="008D4800" w:rsidP="00665E99">
      <w:pPr>
        <w:pStyle w:val="ListParagraph"/>
        <w:numPr>
          <w:ilvl w:val="0"/>
          <w:numId w:val="12"/>
        </w:numPr>
        <w:jc w:val="left"/>
      </w:pPr>
      <w:r>
        <w:t>Credit rating analysis (where available)</w:t>
      </w:r>
    </w:p>
    <w:p w:rsidR="008D4800" w:rsidRDefault="008D4800" w:rsidP="008D4800">
      <w:pPr>
        <w:jc w:val="left"/>
      </w:pPr>
    </w:p>
    <w:p w:rsidR="00BA441C" w:rsidRDefault="00EA1405" w:rsidP="00EA1405">
      <w:pPr>
        <w:rPr>
          <w:iCs/>
        </w:rPr>
      </w:pPr>
      <w:r>
        <w:t>E</w:t>
      </w:r>
      <w:r w:rsidRPr="00EA1405">
        <w:t>ach of the current BEPPs</w:t>
      </w:r>
      <w:r>
        <w:t xml:space="preserve"> were a</w:t>
      </w:r>
      <w:r w:rsidR="00BA441C" w:rsidRPr="00EA1405">
        <w:t>ssess</w:t>
      </w:r>
      <w:r>
        <w:t xml:space="preserve">ed to determine the adequacy of </w:t>
      </w:r>
      <w:r w:rsidR="00BA441C" w:rsidRPr="00EA1405">
        <w:t xml:space="preserve">the Capital Funding and financial information contained </w:t>
      </w:r>
      <w:r>
        <w:t xml:space="preserve">therein. The objective was to evaluate </w:t>
      </w:r>
      <w:r w:rsidR="00B40D08">
        <w:t xml:space="preserve">whether the BEPPs contained sufficient information to </w:t>
      </w:r>
      <w:r w:rsidR="00BA441C" w:rsidRPr="00EA1405">
        <w:rPr>
          <w:iCs/>
        </w:rPr>
        <w:t>attract funders and private investors to invest in the BEPP Project pipelin</w:t>
      </w:r>
      <w:r>
        <w:rPr>
          <w:iCs/>
        </w:rPr>
        <w:t>e</w:t>
      </w:r>
      <w:r w:rsidR="00B40D08">
        <w:rPr>
          <w:iCs/>
        </w:rPr>
        <w:t>.</w:t>
      </w:r>
    </w:p>
    <w:p w:rsidR="005368F7" w:rsidRPr="00EA1405" w:rsidRDefault="005368F7" w:rsidP="00EA1405"/>
    <w:p w:rsidR="005368F7" w:rsidRDefault="005368F7" w:rsidP="005368F7">
      <w:r>
        <w:t xml:space="preserve">Desktop reviews were also performed to obtain insights into international best practice related to public sector infrastructure development and in particular funding thereof. The criteria utilised by Development Financing Institutes (DFIs) to assess the bankability of infrastructure projects, was used as the reference to evaluate the finance-ability of the metros’ catalytic projects. </w:t>
      </w:r>
    </w:p>
    <w:p w:rsidR="00EA1405" w:rsidRDefault="00EA1405" w:rsidP="00D6379A"/>
    <w:p w:rsidR="005368F7" w:rsidRDefault="005368F7" w:rsidP="00D6379A">
      <w:r>
        <w:t xml:space="preserve">Following which recommendations were developed </w:t>
      </w:r>
      <w:r w:rsidRPr="005368F7">
        <w:t xml:space="preserve">on </w:t>
      </w:r>
      <w:r>
        <w:t xml:space="preserve">the </w:t>
      </w:r>
      <w:r w:rsidRPr="005368F7">
        <w:t xml:space="preserve">key information </w:t>
      </w:r>
      <w:r>
        <w:t>that</w:t>
      </w:r>
      <w:r w:rsidRPr="005368F7">
        <w:t xml:space="preserve"> should be </w:t>
      </w:r>
      <w:r>
        <w:t xml:space="preserve">reflected in the 2017/18 BEPPs </w:t>
      </w:r>
      <w:r w:rsidRPr="005368F7">
        <w:t xml:space="preserve">to improve </w:t>
      </w:r>
      <w:r>
        <w:t xml:space="preserve">financial closure and to be financeable and bankable. </w:t>
      </w:r>
      <w:r w:rsidR="005153BE">
        <w:t xml:space="preserve">The final </w:t>
      </w:r>
      <w:r w:rsidR="007E2AEB">
        <w:t>stage</w:t>
      </w:r>
      <w:r w:rsidR="005153BE">
        <w:t xml:space="preserve"> in the evaluation</w:t>
      </w:r>
      <w:r>
        <w:t xml:space="preserve"> was to perform a high-level ratting of each of the BEPPs</w:t>
      </w:r>
      <w:r w:rsidR="007E2AEB">
        <w:t xml:space="preserve">. </w:t>
      </w:r>
    </w:p>
    <w:p w:rsidR="005368F7" w:rsidRDefault="005368F7" w:rsidP="00D6379A"/>
    <w:p w:rsidR="005153BE" w:rsidRDefault="007E2AEB" w:rsidP="00D6379A">
      <w:r>
        <w:t xml:space="preserve">The </w:t>
      </w:r>
      <w:r w:rsidR="005368F7">
        <w:t xml:space="preserve">outcomes of the </w:t>
      </w:r>
      <w:r>
        <w:t xml:space="preserve">evaluation </w:t>
      </w:r>
      <w:r w:rsidR="005368F7">
        <w:t xml:space="preserve">together </w:t>
      </w:r>
      <w:r>
        <w:t xml:space="preserve">with recommendations to </w:t>
      </w:r>
      <w:r w:rsidR="005368F7">
        <w:t xml:space="preserve">improve the </w:t>
      </w:r>
      <w:r>
        <w:t>quality</w:t>
      </w:r>
      <w:r w:rsidR="005368F7">
        <w:t xml:space="preserve"> of the </w:t>
      </w:r>
      <w:r>
        <w:t>BEPP</w:t>
      </w:r>
      <w:r w:rsidR="005368F7">
        <w:t>s are detailed in the sections that follow</w:t>
      </w:r>
      <w:r>
        <w:t>.</w:t>
      </w:r>
    </w:p>
    <w:p w:rsidR="00341B15" w:rsidRDefault="00341B15">
      <w:pPr>
        <w:spacing w:after="200" w:line="276" w:lineRule="auto"/>
        <w:jc w:val="left"/>
      </w:pPr>
      <w:r>
        <w:br w:type="page"/>
      </w:r>
    </w:p>
    <w:p w:rsidR="00430374" w:rsidRDefault="00341B15" w:rsidP="00634AD8">
      <w:pPr>
        <w:pStyle w:val="Heading3"/>
        <w:numPr>
          <w:ilvl w:val="0"/>
          <w:numId w:val="6"/>
        </w:numPr>
      </w:pPr>
      <w:bookmarkStart w:id="8" w:name="_Toc455995463"/>
      <w:r>
        <w:lastRenderedPageBreak/>
        <w:t xml:space="preserve">Framework: </w:t>
      </w:r>
      <w:r w:rsidR="001A3853">
        <w:t xml:space="preserve">Bankability and Finance-ability </w:t>
      </w:r>
      <w:r w:rsidR="009909C5" w:rsidRPr="00430374">
        <w:t>C</w:t>
      </w:r>
      <w:r w:rsidR="001A3853">
        <w:t xml:space="preserve">riteria </w:t>
      </w:r>
      <w:r w:rsidR="00AC4FE2">
        <w:t>and Guidelines</w:t>
      </w:r>
      <w:bookmarkEnd w:id="8"/>
    </w:p>
    <w:p w:rsidR="001A3853" w:rsidRPr="00772BEC" w:rsidRDefault="001A3853" w:rsidP="001A3853">
      <w:r>
        <w:t xml:space="preserve">In order to raise the necessary </w:t>
      </w:r>
      <w:r w:rsidR="00825074">
        <w:t xml:space="preserve">funds that are necessary to implement the Catalytic projects, </w:t>
      </w:r>
      <w:r>
        <w:t xml:space="preserve">it is important that metros consider the “bankability” of the catalytic projects that are identified in the BEPP. Bankability </w:t>
      </w:r>
      <w:r w:rsidRPr="00772BEC">
        <w:rPr>
          <w:lang w:val="en-US"/>
        </w:rPr>
        <w:t xml:space="preserve">simply means </w:t>
      </w:r>
      <w:r w:rsidRPr="00772BEC">
        <w:rPr>
          <w:i/>
          <w:iCs/>
          <w:lang w:val="en-US"/>
        </w:rPr>
        <w:t xml:space="preserve">lenders are comfortable to lend money </w:t>
      </w:r>
      <w:r w:rsidR="00825074">
        <w:rPr>
          <w:lang w:val="en-US"/>
        </w:rPr>
        <w:t>to the project because it is:</w:t>
      </w:r>
    </w:p>
    <w:p w:rsidR="001A3853" w:rsidRDefault="001A3853" w:rsidP="00665E99">
      <w:pPr>
        <w:numPr>
          <w:ilvl w:val="0"/>
          <w:numId w:val="10"/>
        </w:numPr>
      </w:pPr>
      <w:r>
        <w:t xml:space="preserve">Underpinned by </w:t>
      </w:r>
      <w:r w:rsidRPr="008371BC">
        <w:rPr>
          <w:i/>
        </w:rPr>
        <w:t>sound, financial and market information</w:t>
      </w:r>
      <w:r>
        <w:t xml:space="preserve">, which means it’s able to </w:t>
      </w:r>
      <w:r w:rsidRPr="008371BC">
        <w:rPr>
          <w:i/>
        </w:rPr>
        <w:t>generate enough cash flows to service the financing and still be profitable</w:t>
      </w:r>
      <w:r>
        <w:t>; and</w:t>
      </w:r>
    </w:p>
    <w:p w:rsidR="001A3853" w:rsidRDefault="001A3853" w:rsidP="00665E99">
      <w:pPr>
        <w:numPr>
          <w:ilvl w:val="0"/>
          <w:numId w:val="10"/>
        </w:numPr>
      </w:pPr>
      <w:r>
        <w:t xml:space="preserve">Underpinned by </w:t>
      </w:r>
      <w:r w:rsidRPr="008371BC">
        <w:rPr>
          <w:i/>
        </w:rPr>
        <w:t>sound technical and institutional arrangements</w:t>
      </w:r>
      <w:r>
        <w:t xml:space="preserve"> which gives it </w:t>
      </w:r>
      <w:r w:rsidRPr="008371BC">
        <w:rPr>
          <w:i/>
        </w:rPr>
        <w:t>longevity and sustainability</w:t>
      </w:r>
      <w:r>
        <w:t>.</w:t>
      </w:r>
    </w:p>
    <w:p w:rsidR="00C31712" w:rsidRDefault="00825074" w:rsidP="00665E99">
      <w:pPr>
        <w:pStyle w:val="Heading3"/>
        <w:numPr>
          <w:ilvl w:val="1"/>
          <w:numId w:val="17"/>
        </w:numPr>
      </w:pPr>
      <w:bookmarkStart w:id="9" w:name="_Toc455995464"/>
      <w:r>
        <w:t>Comprehensive Plans and Models</w:t>
      </w:r>
      <w:bookmarkEnd w:id="9"/>
    </w:p>
    <w:p w:rsidR="00825074" w:rsidRDefault="00825074" w:rsidP="00825074">
      <w:r>
        <w:t xml:space="preserve">It is however important to note that in order for National Treasury as well as potential investors to perform a bankability assessment, evidence of the following is required: </w:t>
      </w:r>
    </w:p>
    <w:p w:rsidR="00825074" w:rsidRDefault="00825074" w:rsidP="00825074">
      <w:pPr>
        <w:jc w:val="center"/>
      </w:pPr>
      <w:r>
        <w:rPr>
          <w:noProof/>
          <w:lang w:eastAsia="en-ZA"/>
        </w:rPr>
        <w:drawing>
          <wp:inline distT="0" distB="0" distL="0" distR="0" wp14:anchorId="3AC9593E" wp14:editId="5971764A">
            <wp:extent cx="5772839" cy="290195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3831" cy="2912503"/>
                    </a:xfrm>
                    <a:prstGeom prst="rect">
                      <a:avLst/>
                    </a:prstGeom>
                    <a:noFill/>
                    <a:ln>
                      <a:solidFill>
                        <a:srgbClr val="002060"/>
                      </a:solidFill>
                    </a:ln>
                  </pic:spPr>
                </pic:pic>
              </a:graphicData>
            </a:graphic>
          </wp:inline>
        </w:drawing>
      </w:r>
    </w:p>
    <w:p w:rsidR="00825074" w:rsidRDefault="00825074" w:rsidP="00665E99">
      <w:pPr>
        <w:pStyle w:val="ListParagraph"/>
        <w:numPr>
          <w:ilvl w:val="0"/>
          <w:numId w:val="9"/>
        </w:numPr>
      </w:pPr>
      <w:r>
        <w:t>A business plan</w:t>
      </w:r>
    </w:p>
    <w:p w:rsidR="00825074" w:rsidRPr="00C633D7" w:rsidRDefault="00825074" w:rsidP="00825074">
      <w:r w:rsidRPr="00C633D7">
        <w:t>The project must be appropriately formulated, designed and structured for the infrastructure to be provided (e.g. as a PPP, Corporate Finance, Project Finance or a blend of these structures)</w:t>
      </w:r>
      <w:r>
        <w:t>;</w:t>
      </w:r>
      <w:r w:rsidRPr="00C633D7">
        <w:t xml:space="preserve"> </w:t>
      </w:r>
    </w:p>
    <w:p w:rsidR="00825074" w:rsidRPr="00C633D7" w:rsidRDefault="00825074" w:rsidP="00665E99">
      <w:pPr>
        <w:pStyle w:val="ListParagraph"/>
        <w:numPr>
          <w:ilvl w:val="0"/>
          <w:numId w:val="9"/>
        </w:numPr>
      </w:pPr>
      <w:r w:rsidRPr="00C633D7">
        <w:t>Pre-feasibility Studies/Concept Plans</w:t>
      </w:r>
    </w:p>
    <w:p w:rsidR="00825074" w:rsidRDefault="00825074" w:rsidP="00825074">
      <w:r w:rsidRPr="00C633D7">
        <w:t>Technical studies and investigations should have been done to a sufficient level of detail to ensure accurate cost estimates and t</w:t>
      </w:r>
      <w:r>
        <w:t>o address the project risks discussed above</w:t>
      </w:r>
    </w:p>
    <w:p w:rsidR="00825074" w:rsidRDefault="00825074" w:rsidP="00665E99">
      <w:pPr>
        <w:pStyle w:val="ListParagraph"/>
        <w:keepNext/>
        <w:numPr>
          <w:ilvl w:val="0"/>
          <w:numId w:val="9"/>
        </w:numPr>
      </w:pPr>
      <w:r>
        <w:lastRenderedPageBreak/>
        <w:t>Financial models</w:t>
      </w:r>
    </w:p>
    <w:p w:rsidR="00825074" w:rsidRDefault="00825074" w:rsidP="00825074">
      <w:pPr>
        <w:pStyle w:val="ListParagraph"/>
        <w:keepNext/>
        <w:ind w:left="0"/>
      </w:pPr>
      <w:r>
        <w:t xml:space="preserve">The financial models must provide evidence that the project is financially sustainable and affordable based on accurate and detailed financial information. The model must be able to withstand sensitivity analyses and stress testing to ensure the robustness of the model. </w:t>
      </w:r>
    </w:p>
    <w:p w:rsidR="00C31712" w:rsidRDefault="00825074" w:rsidP="00665E99">
      <w:pPr>
        <w:pStyle w:val="Heading3"/>
        <w:numPr>
          <w:ilvl w:val="1"/>
          <w:numId w:val="17"/>
        </w:numPr>
      </w:pPr>
      <w:bookmarkStart w:id="10" w:name="_Toc455995465"/>
      <w:r>
        <w:t>DFI Project Funding Criteria</w:t>
      </w:r>
      <w:bookmarkEnd w:id="10"/>
    </w:p>
    <w:p w:rsidR="00825074" w:rsidRDefault="00825074" w:rsidP="00825074">
      <w:r w:rsidRPr="00825074">
        <w:t>Development Finance Institutions (DFI) typically focus on public and private sector projects that enhance regional integration; similar in nature to the catalytic projects that are contained in the BEPP. The criteria used by the DFI to assess the bankability of a project is illustrated below:</w:t>
      </w:r>
    </w:p>
    <w:p w:rsidR="00825074" w:rsidRDefault="00825074" w:rsidP="00825074"/>
    <w:p w:rsidR="00825074" w:rsidRDefault="00825074" w:rsidP="00825074">
      <w:r>
        <w:rPr>
          <w:noProof/>
          <w:lang w:eastAsia="en-ZA"/>
        </w:rPr>
        <w:drawing>
          <wp:inline distT="0" distB="0" distL="0" distR="0" wp14:anchorId="70D3DBC2" wp14:editId="0AA28A61">
            <wp:extent cx="5904230" cy="3275479"/>
            <wp:effectExtent l="19050" t="19050" r="20320" b="20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3275479"/>
                    </a:xfrm>
                    <a:prstGeom prst="rect">
                      <a:avLst/>
                    </a:prstGeom>
                    <a:noFill/>
                    <a:ln>
                      <a:solidFill>
                        <a:schemeClr val="accent6">
                          <a:lumMod val="50000"/>
                        </a:schemeClr>
                      </a:solidFill>
                    </a:ln>
                  </pic:spPr>
                </pic:pic>
              </a:graphicData>
            </a:graphic>
          </wp:inline>
        </w:drawing>
      </w:r>
    </w:p>
    <w:p w:rsidR="007723F2" w:rsidRDefault="007723F2" w:rsidP="00825074"/>
    <w:p w:rsidR="00825074" w:rsidRDefault="00825074" w:rsidP="00825074">
      <w:r>
        <w:t xml:space="preserve">When preparing business plans and financial models to support infrastructure development concepts, it is useful for metros to consider the project funding criteria used by DFI. In addition, metros should </w:t>
      </w:r>
      <w:r w:rsidRPr="00C13EAE">
        <w:t xml:space="preserve">address the </w:t>
      </w:r>
      <w:r>
        <w:t>following key concerns for financiers</w:t>
      </w:r>
      <w:r w:rsidRPr="00C13EAE">
        <w:t xml:space="preserve"> </w:t>
      </w:r>
      <w:r>
        <w:t>in their f</w:t>
      </w:r>
      <w:r w:rsidRPr="00C13EAE">
        <w:t xml:space="preserve">inal </w:t>
      </w:r>
      <w:r>
        <w:t xml:space="preserve">project </w:t>
      </w:r>
      <w:r w:rsidRPr="00C13EAE">
        <w:t>feasibility studies</w:t>
      </w:r>
      <w:r>
        <w:t>:</w:t>
      </w:r>
    </w:p>
    <w:p w:rsidR="00825074" w:rsidRDefault="00825074" w:rsidP="00665E99">
      <w:pPr>
        <w:pStyle w:val="ListParagraph"/>
        <w:numPr>
          <w:ilvl w:val="0"/>
          <w:numId w:val="9"/>
        </w:numPr>
      </w:pPr>
      <w:r>
        <w:t>Lack of equity</w:t>
      </w:r>
    </w:p>
    <w:p w:rsidR="00825074" w:rsidRDefault="00825074" w:rsidP="00665E99">
      <w:pPr>
        <w:pStyle w:val="ListParagraph"/>
        <w:numPr>
          <w:ilvl w:val="1"/>
          <w:numId w:val="9"/>
        </w:numPr>
        <w:tabs>
          <w:tab w:val="left" w:pos="1775"/>
        </w:tabs>
      </w:pPr>
      <w:r>
        <w:t>Metros should consider options to attract 3</w:t>
      </w:r>
      <w:r w:rsidRPr="009F371E">
        <w:rPr>
          <w:vertAlign w:val="superscript"/>
        </w:rPr>
        <w:t>rd</w:t>
      </w:r>
      <w:r>
        <w:t xml:space="preserve"> party sources of equity, if sponsor equity is limited;</w:t>
      </w:r>
    </w:p>
    <w:p w:rsidR="00825074" w:rsidRDefault="00825074" w:rsidP="00665E99">
      <w:pPr>
        <w:pStyle w:val="ListParagraph"/>
        <w:numPr>
          <w:ilvl w:val="0"/>
          <w:numId w:val="9"/>
        </w:numPr>
      </w:pPr>
      <w:r>
        <w:t>Weak sponsors (limited financial, technical and management expertise)</w:t>
      </w:r>
    </w:p>
    <w:p w:rsidR="00825074" w:rsidRDefault="00825074" w:rsidP="00665E99">
      <w:pPr>
        <w:pStyle w:val="ListParagraph"/>
        <w:numPr>
          <w:ilvl w:val="1"/>
          <w:numId w:val="9"/>
        </w:numPr>
      </w:pPr>
      <w:r>
        <w:t>Metros should supplement their staff with contracted 3</w:t>
      </w:r>
      <w:r w:rsidRPr="009F371E">
        <w:rPr>
          <w:vertAlign w:val="superscript"/>
        </w:rPr>
        <w:t>rd</w:t>
      </w:r>
      <w:r>
        <w:t xml:space="preserve"> party expertise e.g. Management/Technical Partner</w:t>
      </w:r>
      <w:r w:rsidR="007723F2">
        <w:t>;</w:t>
      </w:r>
    </w:p>
    <w:p w:rsidR="00825074" w:rsidRDefault="00825074" w:rsidP="00665E99">
      <w:pPr>
        <w:pStyle w:val="ListParagraph"/>
        <w:numPr>
          <w:ilvl w:val="0"/>
          <w:numId w:val="9"/>
        </w:numPr>
      </w:pPr>
      <w:r>
        <w:lastRenderedPageBreak/>
        <w:t>Inadequate off-take agreement</w:t>
      </w:r>
    </w:p>
    <w:p w:rsidR="00825074" w:rsidRDefault="00825074" w:rsidP="00665E99">
      <w:pPr>
        <w:pStyle w:val="ListParagraph"/>
        <w:numPr>
          <w:ilvl w:val="1"/>
          <w:numId w:val="9"/>
        </w:numPr>
      </w:pPr>
      <w:r>
        <w:t>Metros should seek guarantees from stronger</w:t>
      </w:r>
      <w:r w:rsidR="007723F2">
        <w:t xml:space="preserve"> party e.g. blue-chip companies;</w:t>
      </w:r>
    </w:p>
    <w:p w:rsidR="00825074" w:rsidRDefault="00825074" w:rsidP="00665E99">
      <w:pPr>
        <w:pStyle w:val="ListParagraph"/>
        <w:numPr>
          <w:ilvl w:val="0"/>
          <w:numId w:val="9"/>
        </w:numPr>
      </w:pPr>
      <w:r>
        <w:t>Inadequate security package on offer</w:t>
      </w:r>
      <w:r w:rsidR="007723F2">
        <w:t>;</w:t>
      </w:r>
    </w:p>
    <w:p w:rsidR="00825074" w:rsidRDefault="00825074" w:rsidP="00665E99">
      <w:pPr>
        <w:pStyle w:val="ListParagraph"/>
        <w:numPr>
          <w:ilvl w:val="0"/>
          <w:numId w:val="9"/>
        </w:numPr>
      </w:pPr>
      <w:r>
        <w:t>Foreign exchange and convertibility risk</w:t>
      </w:r>
      <w:r w:rsidR="007723F2">
        <w:t>; and</w:t>
      </w:r>
    </w:p>
    <w:p w:rsidR="00825074" w:rsidRDefault="00825074" w:rsidP="00665E99">
      <w:pPr>
        <w:pStyle w:val="ListParagraph"/>
        <w:numPr>
          <w:ilvl w:val="0"/>
          <w:numId w:val="9"/>
        </w:numPr>
      </w:pPr>
      <w:r>
        <w:t>Lack of capacity of sponsors to structure and package projects</w:t>
      </w:r>
    </w:p>
    <w:p w:rsidR="007723F2" w:rsidRDefault="007723F2" w:rsidP="00665E99">
      <w:pPr>
        <w:pStyle w:val="Heading3"/>
        <w:numPr>
          <w:ilvl w:val="1"/>
          <w:numId w:val="17"/>
        </w:numPr>
      </w:pPr>
      <w:bookmarkStart w:id="11" w:name="_Toc455995466"/>
      <w:r w:rsidRPr="007723F2">
        <w:t xml:space="preserve">National Treasury </w:t>
      </w:r>
      <w:r>
        <w:t xml:space="preserve">2016/17 </w:t>
      </w:r>
      <w:r w:rsidRPr="007723F2">
        <w:t>BEPP Guidelines</w:t>
      </w:r>
      <w:bookmarkEnd w:id="11"/>
    </w:p>
    <w:p w:rsidR="0018668E" w:rsidRDefault="006021F3" w:rsidP="006021F3">
      <w:pPr>
        <w:rPr>
          <w:rFonts w:ascii="Helvetica" w:hAnsi="Helvetica"/>
          <w:color w:val="000000"/>
          <w:szCs w:val="22"/>
        </w:rPr>
      </w:pPr>
      <w:r>
        <w:rPr>
          <w:rFonts w:ascii="Helvetica" w:hAnsi="Helvetica"/>
          <w:color w:val="000000"/>
          <w:szCs w:val="22"/>
        </w:rPr>
        <w:t xml:space="preserve">The purpose of the BEPP guidelines is to provide metros with guidance in the preparation of their BEPPs 2016/17– 2018/19 in terms of the annual Division of Revenue Act (DORA). </w:t>
      </w:r>
      <w:r w:rsidR="0018668E">
        <w:rPr>
          <w:rFonts w:ascii="Helvetica" w:hAnsi="Helvetica"/>
          <w:color w:val="000000"/>
          <w:szCs w:val="22"/>
        </w:rPr>
        <w:t>The guidelines note that the budgeting process is regulated by the MFMA and has shown vast improvement over the last few years in terms of being medium term budgets that are funded, credible, relevant and reliable. Yet there is a need to go beyond legislative and regulatory compliance and have a</w:t>
      </w:r>
      <w:r w:rsidR="0018668E">
        <w:rPr>
          <w:rFonts w:ascii="Helvetica" w:hAnsi="Helvetica"/>
          <w:color w:val="000000"/>
          <w:szCs w:val="22"/>
        </w:rPr>
        <w:br/>
        <w:t>long term financing strategy and plan at an institutional level which provides a framework for</w:t>
      </w:r>
      <w:r w:rsidR="0018668E">
        <w:rPr>
          <w:rFonts w:ascii="Helvetica" w:hAnsi="Helvetica"/>
          <w:color w:val="000000"/>
          <w:szCs w:val="22"/>
        </w:rPr>
        <w:br/>
        <w:t>project-level financing of the metropolitan pipeline of catalytic urban development projects.</w:t>
      </w:r>
      <w:r w:rsidR="0018668E">
        <w:rPr>
          <w:rFonts w:ascii="Helvetica" w:hAnsi="Helvetica"/>
          <w:color w:val="000000"/>
          <w:szCs w:val="22"/>
        </w:rPr>
        <w:br/>
        <w:t>The IDP, Budget and the BEPP of most cities currently do not focus on a long term financing</w:t>
      </w:r>
      <w:r w:rsidR="0018668E">
        <w:rPr>
          <w:rFonts w:ascii="Helvetica" w:hAnsi="Helvetica"/>
          <w:color w:val="000000"/>
          <w:szCs w:val="22"/>
        </w:rPr>
        <w:br/>
        <w:t>strategy.</w:t>
      </w:r>
    </w:p>
    <w:p w:rsidR="0018668E" w:rsidRDefault="0018668E" w:rsidP="006021F3">
      <w:pPr>
        <w:rPr>
          <w:rFonts w:ascii="Helvetica" w:hAnsi="Helvetica"/>
          <w:color w:val="000000"/>
          <w:szCs w:val="22"/>
        </w:rPr>
      </w:pPr>
    </w:p>
    <w:p w:rsidR="0018668E" w:rsidRDefault="0018668E" w:rsidP="0018668E">
      <w:pPr>
        <w:rPr>
          <w:rFonts w:ascii="Helvetica" w:hAnsi="Helvetica"/>
          <w:color w:val="000000"/>
          <w:szCs w:val="22"/>
        </w:rPr>
      </w:pPr>
      <w:r>
        <w:rPr>
          <w:rFonts w:ascii="Helvetica" w:hAnsi="Helvetica"/>
          <w:color w:val="000000"/>
          <w:szCs w:val="22"/>
        </w:rPr>
        <w:t xml:space="preserve">In terms of requirements and expectations, the guidelines propose that the </w:t>
      </w:r>
      <w:r w:rsidRPr="0018668E">
        <w:rPr>
          <w:rFonts w:ascii="Helvetica" w:hAnsi="Helvetica"/>
          <w:color w:val="000000"/>
          <w:szCs w:val="22"/>
        </w:rPr>
        <w:t>BEPPs should clearly articulate the long</w:t>
      </w:r>
      <w:r>
        <w:rPr>
          <w:rFonts w:ascii="Helvetica" w:hAnsi="Helvetica"/>
          <w:color w:val="000000"/>
          <w:szCs w:val="22"/>
        </w:rPr>
        <w:t xml:space="preserve"> </w:t>
      </w:r>
      <w:r w:rsidRPr="0018668E">
        <w:rPr>
          <w:rFonts w:ascii="Helvetica" w:hAnsi="Helvetica"/>
          <w:color w:val="000000"/>
          <w:szCs w:val="22"/>
        </w:rPr>
        <w:t>term financing need and strategy for</w:t>
      </w:r>
      <w:r>
        <w:rPr>
          <w:rFonts w:ascii="Helvetica" w:hAnsi="Helvetica"/>
          <w:color w:val="000000"/>
          <w:szCs w:val="22"/>
        </w:rPr>
        <w:t xml:space="preserve"> </w:t>
      </w:r>
      <w:r w:rsidRPr="0018668E">
        <w:rPr>
          <w:rFonts w:ascii="Helvetica" w:hAnsi="Helvetica"/>
          <w:color w:val="000000"/>
          <w:szCs w:val="22"/>
        </w:rPr>
        <w:t xml:space="preserve">spatial </w:t>
      </w:r>
      <w:r>
        <w:rPr>
          <w:rFonts w:ascii="Helvetica" w:hAnsi="Helvetica"/>
          <w:color w:val="000000"/>
          <w:szCs w:val="22"/>
        </w:rPr>
        <w:t>t</w:t>
      </w:r>
      <w:r w:rsidRPr="0018668E">
        <w:rPr>
          <w:rFonts w:ascii="Helvetica" w:hAnsi="Helvetica"/>
          <w:color w:val="000000"/>
          <w:szCs w:val="22"/>
        </w:rPr>
        <w:t>ransformation. This financing</w:t>
      </w:r>
      <w:r>
        <w:rPr>
          <w:rFonts w:ascii="Helvetica" w:hAnsi="Helvetica"/>
          <w:color w:val="000000"/>
          <w:szCs w:val="22"/>
        </w:rPr>
        <w:t xml:space="preserve"> </w:t>
      </w:r>
      <w:r w:rsidRPr="0018668E">
        <w:rPr>
          <w:rFonts w:ascii="Helvetica" w:hAnsi="Helvetica"/>
          <w:color w:val="000000"/>
          <w:szCs w:val="22"/>
        </w:rPr>
        <w:t>strategy should be based on the plan for</w:t>
      </w:r>
      <w:r>
        <w:rPr>
          <w:rFonts w:ascii="Helvetica" w:hAnsi="Helvetica"/>
          <w:color w:val="000000"/>
          <w:szCs w:val="22"/>
        </w:rPr>
        <w:t xml:space="preserve"> </w:t>
      </w:r>
      <w:r w:rsidRPr="0018668E">
        <w:rPr>
          <w:rFonts w:ascii="Helvetica" w:hAnsi="Helvetica"/>
          <w:color w:val="000000"/>
          <w:szCs w:val="22"/>
        </w:rPr>
        <w:t>spatial transformation – the spatial</w:t>
      </w:r>
      <w:r>
        <w:rPr>
          <w:rFonts w:ascii="Helvetica" w:hAnsi="Helvetica"/>
          <w:color w:val="000000"/>
          <w:szCs w:val="22"/>
        </w:rPr>
        <w:t xml:space="preserve"> </w:t>
      </w:r>
      <w:r w:rsidRPr="0018668E">
        <w:rPr>
          <w:rFonts w:ascii="Helvetica" w:hAnsi="Helvetica"/>
          <w:color w:val="000000"/>
          <w:szCs w:val="22"/>
        </w:rPr>
        <w:t>targeting approach that results in the</w:t>
      </w:r>
      <w:r>
        <w:rPr>
          <w:rFonts w:ascii="Helvetica" w:hAnsi="Helvetica"/>
          <w:color w:val="000000"/>
          <w:szCs w:val="22"/>
        </w:rPr>
        <w:t xml:space="preserve"> </w:t>
      </w:r>
      <w:r w:rsidRPr="0018668E">
        <w:rPr>
          <w:rFonts w:ascii="Helvetica" w:hAnsi="Helvetica"/>
          <w:color w:val="000000"/>
          <w:szCs w:val="22"/>
        </w:rPr>
        <w:t>identification of urban networks,</w:t>
      </w:r>
      <w:r>
        <w:rPr>
          <w:rFonts w:ascii="Helvetica" w:hAnsi="Helvetica"/>
          <w:color w:val="000000"/>
          <w:szCs w:val="22"/>
        </w:rPr>
        <w:t xml:space="preserve"> </w:t>
      </w:r>
      <w:r w:rsidRPr="0018668E">
        <w:rPr>
          <w:rFonts w:ascii="Helvetica" w:hAnsi="Helvetica"/>
          <w:color w:val="000000"/>
          <w:szCs w:val="22"/>
        </w:rPr>
        <w:t>Integration Zones, areas where service</w:t>
      </w:r>
      <w:r>
        <w:rPr>
          <w:rFonts w:ascii="Helvetica" w:hAnsi="Helvetica"/>
          <w:color w:val="000000"/>
          <w:szCs w:val="22"/>
        </w:rPr>
        <w:t xml:space="preserve"> </w:t>
      </w:r>
      <w:r w:rsidRPr="0018668E">
        <w:rPr>
          <w:rFonts w:ascii="Helvetica" w:hAnsi="Helvetica"/>
          <w:color w:val="000000"/>
          <w:szCs w:val="22"/>
        </w:rPr>
        <w:t>backlogs need to be addressed, informal</w:t>
      </w:r>
      <w:r>
        <w:rPr>
          <w:rFonts w:ascii="Helvetica" w:hAnsi="Helvetica"/>
          <w:color w:val="000000"/>
          <w:szCs w:val="22"/>
        </w:rPr>
        <w:t xml:space="preserve"> </w:t>
      </w:r>
      <w:r w:rsidRPr="0018668E">
        <w:rPr>
          <w:rFonts w:ascii="Helvetica" w:hAnsi="Helvetica"/>
          <w:color w:val="000000"/>
          <w:szCs w:val="22"/>
        </w:rPr>
        <w:t>settlements, marginalised areas, and</w:t>
      </w:r>
      <w:r>
        <w:rPr>
          <w:rFonts w:ascii="Helvetica" w:hAnsi="Helvetica"/>
          <w:color w:val="000000"/>
          <w:szCs w:val="22"/>
        </w:rPr>
        <w:t xml:space="preserve"> </w:t>
      </w:r>
      <w:r w:rsidRPr="0018668E">
        <w:rPr>
          <w:rFonts w:ascii="Helvetica" w:hAnsi="Helvetica"/>
          <w:color w:val="000000"/>
          <w:szCs w:val="22"/>
        </w:rPr>
        <w:t>growth nodes for economic</w:t>
      </w:r>
      <w:r>
        <w:rPr>
          <w:rFonts w:ascii="Helvetica" w:hAnsi="Helvetica"/>
          <w:color w:val="000000"/>
          <w:szCs w:val="22"/>
        </w:rPr>
        <w:t xml:space="preserve"> </w:t>
      </w:r>
      <w:r w:rsidRPr="0018668E">
        <w:rPr>
          <w:rFonts w:ascii="Helvetica" w:hAnsi="Helvetica"/>
          <w:color w:val="000000"/>
          <w:szCs w:val="22"/>
        </w:rPr>
        <w:t>development. The long term financial</w:t>
      </w:r>
      <w:r>
        <w:rPr>
          <w:rFonts w:ascii="Helvetica" w:hAnsi="Helvetica"/>
          <w:color w:val="000000"/>
          <w:szCs w:val="22"/>
        </w:rPr>
        <w:t xml:space="preserve"> </w:t>
      </w:r>
      <w:r w:rsidRPr="0018668E">
        <w:rPr>
          <w:rFonts w:ascii="Helvetica" w:hAnsi="Helvetica"/>
          <w:color w:val="000000"/>
          <w:szCs w:val="22"/>
        </w:rPr>
        <w:t>strategy provides the framework for</w:t>
      </w:r>
      <w:r>
        <w:rPr>
          <w:rFonts w:ascii="Helvetica" w:hAnsi="Helvetica"/>
          <w:color w:val="000000"/>
          <w:szCs w:val="22"/>
        </w:rPr>
        <w:t xml:space="preserve"> </w:t>
      </w:r>
      <w:r w:rsidRPr="0018668E">
        <w:rPr>
          <w:rFonts w:ascii="Helvetica" w:hAnsi="Helvetica"/>
          <w:color w:val="000000"/>
          <w:szCs w:val="22"/>
        </w:rPr>
        <w:t>investment activities that relate</w:t>
      </w:r>
      <w:r>
        <w:rPr>
          <w:rFonts w:ascii="Helvetica" w:hAnsi="Helvetica"/>
          <w:color w:val="000000"/>
          <w:szCs w:val="22"/>
        </w:rPr>
        <w:t xml:space="preserve"> </w:t>
      </w:r>
      <w:r w:rsidRPr="0018668E">
        <w:rPr>
          <w:rFonts w:ascii="Helvetica" w:hAnsi="Helvetica"/>
          <w:color w:val="000000"/>
          <w:szCs w:val="22"/>
        </w:rPr>
        <w:t>specifically to the financing of projects</w:t>
      </w:r>
      <w:r>
        <w:rPr>
          <w:rFonts w:ascii="Helvetica" w:hAnsi="Helvetica"/>
          <w:color w:val="000000"/>
          <w:szCs w:val="22"/>
        </w:rPr>
        <w:t xml:space="preserve"> </w:t>
      </w:r>
      <w:r w:rsidRPr="0018668E">
        <w:rPr>
          <w:rFonts w:ascii="Helvetica" w:hAnsi="Helvetica"/>
          <w:color w:val="000000"/>
          <w:szCs w:val="22"/>
        </w:rPr>
        <w:t>within Integration Zones</w:t>
      </w:r>
      <w:r>
        <w:rPr>
          <w:rFonts w:ascii="Helvetica" w:hAnsi="Helvetica"/>
          <w:color w:val="000000"/>
          <w:szCs w:val="22"/>
        </w:rPr>
        <w:t xml:space="preserve">. </w:t>
      </w:r>
    </w:p>
    <w:p w:rsidR="00282391" w:rsidRDefault="00282391" w:rsidP="0018668E">
      <w:pPr>
        <w:rPr>
          <w:rFonts w:ascii="Helvetica" w:hAnsi="Helvetica"/>
          <w:color w:val="000000"/>
          <w:szCs w:val="22"/>
        </w:rPr>
      </w:pPr>
    </w:p>
    <w:p w:rsidR="00282391" w:rsidRDefault="00282391" w:rsidP="0018668E">
      <w:pPr>
        <w:rPr>
          <w:rFonts w:ascii="Helvetica" w:hAnsi="Helvetica"/>
          <w:color w:val="000000"/>
          <w:szCs w:val="22"/>
        </w:rPr>
      </w:pPr>
      <w:r>
        <w:rPr>
          <w:rFonts w:ascii="Helvetica" w:hAnsi="Helvetica"/>
          <w:color w:val="000000"/>
          <w:szCs w:val="22"/>
        </w:rPr>
        <w:t>In respect of content and format requirements, the guidelines indicate the following</w:t>
      </w:r>
      <w:r w:rsidR="00C5183B">
        <w:rPr>
          <w:rFonts w:ascii="Helvetica" w:hAnsi="Helvetica"/>
          <w:color w:val="000000"/>
          <w:szCs w:val="22"/>
        </w:rPr>
        <w:t xml:space="preserve"> for Section D of the BEPP report:</w:t>
      </w:r>
    </w:p>
    <w:p w:rsidR="00C5183B" w:rsidRDefault="00C5183B" w:rsidP="00665E99">
      <w:pPr>
        <w:pStyle w:val="ListParagraph"/>
        <w:numPr>
          <w:ilvl w:val="0"/>
          <w:numId w:val="25"/>
        </w:numPr>
        <w:rPr>
          <w:rFonts w:ascii="Helvetica" w:hAnsi="Helvetica"/>
          <w:color w:val="000000"/>
          <w:szCs w:val="22"/>
        </w:rPr>
      </w:pPr>
      <w:r>
        <w:rPr>
          <w:rFonts w:ascii="Helvetica" w:hAnsi="Helvetica"/>
          <w:color w:val="000000"/>
          <w:szCs w:val="22"/>
        </w:rPr>
        <w:t>Section D1 Spatial budget mix</w:t>
      </w:r>
    </w:p>
    <w:p w:rsidR="00BA441C" w:rsidRPr="00C5183B" w:rsidRDefault="00BA441C" w:rsidP="00C5183B">
      <w:pPr>
        <w:rPr>
          <w:rFonts w:ascii="Helvetica" w:hAnsi="Helvetica"/>
          <w:color w:val="000000"/>
          <w:szCs w:val="22"/>
        </w:rPr>
      </w:pPr>
      <w:r w:rsidRPr="00C5183B">
        <w:rPr>
          <w:rFonts w:ascii="Helvetica" w:hAnsi="Helvetica"/>
          <w:color w:val="000000"/>
          <w:szCs w:val="22"/>
        </w:rPr>
        <w:t>High level allocation of capital budget to each of the following 3 spatial targeting categories in terms of total capital budget from all funding sources:</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Urban Network identification and prioritisation of Integration Zones</w:t>
      </w:r>
      <w:r w:rsidR="00C5183B">
        <w:rPr>
          <w:rFonts w:ascii="Helvetica" w:hAnsi="Helvetica"/>
          <w:iCs/>
          <w:color w:val="000000"/>
          <w:szCs w:val="22"/>
        </w:rPr>
        <w:t xml:space="preserve">; </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Marginalised areas (Informal settlements, Townships and Inner City Areas)</w:t>
      </w:r>
      <w:r w:rsidR="00C5183B">
        <w:rPr>
          <w:rFonts w:ascii="Helvetica" w:hAnsi="Helvetica"/>
          <w:iCs/>
          <w:color w:val="000000"/>
          <w:szCs w:val="22"/>
        </w:rPr>
        <w:t xml:space="preserve"> </w:t>
      </w:r>
      <w:r w:rsidRPr="00C5183B">
        <w:rPr>
          <w:rFonts w:ascii="Helvetica" w:hAnsi="Helvetica"/>
          <w:iCs/>
          <w:color w:val="000000"/>
          <w:szCs w:val="22"/>
        </w:rPr>
        <w:t xml:space="preserve">identification and </w:t>
      </w:r>
      <w:r w:rsidR="00C5183B" w:rsidRPr="00C5183B">
        <w:rPr>
          <w:rFonts w:ascii="Helvetica" w:hAnsi="Helvetica"/>
          <w:iCs/>
          <w:color w:val="000000"/>
          <w:szCs w:val="22"/>
        </w:rPr>
        <w:t>prioritization; and</w:t>
      </w:r>
    </w:p>
    <w:p w:rsidR="00BA441C" w:rsidRPr="00C5183B" w:rsidRDefault="00BA441C" w:rsidP="00665E99">
      <w:pPr>
        <w:numPr>
          <w:ilvl w:val="1"/>
          <w:numId w:val="26"/>
        </w:numPr>
        <w:ind w:left="709" w:hanging="425"/>
        <w:rPr>
          <w:rFonts w:ascii="Helvetica" w:hAnsi="Helvetica"/>
          <w:color w:val="000000"/>
          <w:szCs w:val="22"/>
        </w:rPr>
      </w:pPr>
      <w:r w:rsidRPr="00C5183B">
        <w:rPr>
          <w:rFonts w:ascii="Helvetica" w:hAnsi="Helvetica"/>
          <w:iCs/>
          <w:color w:val="000000"/>
          <w:szCs w:val="22"/>
        </w:rPr>
        <w:t>Growth nodes (commercial and industrial) identification and prioritisation</w:t>
      </w:r>
    </w:p>
    <w:p w:rsidR="00C5183B" w:rsidRPr="00C5183B" w:rsidRDefault="00C5183B" w:rsidP="00C5183B">
      <w:pPr>
        <w:rPr>
          <w:rFonts w:ascii="Helvetica" w:hAnsi="Helvetica"/>
          <w:color w:val="000000"/>
          <w:szCs w:val="22"/>
        </w:rPr>
      </w:pPr>
    </w:p>
    <w:p w:rsidR="00C5183B" w:rsidRDefault="00C5183B" w:rsidP="00665E99">
      <w:pPr>
        <w:pStyle w:val="ListParagraph"/>
        <w:numPr>
          <w:ilvl w:val="0"/>
          <w:numId w:val="25"/>
        </w:numPr>
        <w:rPr>
          <w:rFonts w:ascii="Helvetica" w:hAnsi="Helvetica"/>
          <w:color w:val="000000"/>
          <w:szCs w:val="22"/>
        </w:rPr>
      </w:pPr>
      <w:r>
        <w:rPr>
          <w:rFonts w:ascii="Helvetica" w:hAnsi="Helvetica"/>
          <w:color w:val="000000"/>
          <w:szCs w:val="22"/>
        </w:rPr>
        <w:lastRenderedPageBreak/>
        <w:t>Section D2 Investment strategy</w:t>
      </w:r>
    </w:p>
    <w:p w:rsidR="00BA441C" w:rsidRPr="00C5183B" w:rsidRDefault="00C5183B" w:rsidP="00C5183B">
      <w:pPr>
        <w:rPr>
          <w:rFonts w:ascii="Helvetica" w:hAnsi="Helvetica"/>
          <w:color w:val="000000"/>
          <w:szCs w:val="22"/>
        </w:rPr>
      </w:pPr>
      <w:r>
        <w:rPr>
          <w:rFonts w:ascii="Helvetica" w:hAnsi="Helvetica"/>
          <w:color w:val="000000"/>
          <w:szCs w:val="22"/>
        </w:rPr>
        <w:t>This section should describe the i</w:t>
      </w:r>
      <w:r w:rsidR="00BA441C" w:rsidRPr="00C5183B">
        <w:rPr>
          <w:rFonts w:ascii="Helvetica" w:hAnsi="Helvetica"/>
          <w:color w:val="000000"/>
          <w:szCs w:val="22"/>
        </w:rPr>
        <w:t>nvestment strategy for</w:t>
      </w:r>
      <w:r>
        <w:rPr>
          <w:rFonts w:ascii="Helvetica" w:hAnsi="Helvetica"/>
          <w:color w:val="000000"/>
          <w:szCs w:val="22"/>
        </w:rPr>
        <w:t xml:space="preserve"> the</w:t>
      </w:r>
      <w:r w:rsidR="00BA441C" w:rsidRPr="00C5183B">
        <w:rPr>
          <w:rFonts w:ascii="Helvetica" w:hAnsi="Helvetica"/>
          <w:color w:val="000000"/>
          <w:szCs w:val="22"/>
        </w:rPr>
        <w:t xml:space="preserve"> intergovernmental project pipeline</w:t>
      </w:r>
    </w:p>
    <w:p w:rsidR="00C5183B" w:rsidRDefault="00C5183B" w:rsidP="00665E99">
      <w:pPr>
        <w:pStyle w:val="ListParagraph"/>
        <w:numPr>
          <w:ilvl w:val="0"/>
          <w:numId w:val="25"/>
        </w:numPr>
        <w:rPr>
          <w:rFonts w:ascii="Helvetica" w:hAnsi="Helvetica"/>
          <w:color w:val="000000"/>
          <w:szCs w:val="22"/>
        </w:rPr>
      </w:pPr>
      <w:r>
        <w:rPr>
          <w:rFonts w:ascii="Helvetica" w:hAnsi="Helvetica"/>
          <w:color w:val="000000"/>
          <w:szCs w:val="22"/>
        </w:rPr>
        <w:t>Section D3 Institutional arrangements and operating budget</w:t>
      </w:r>
    </w:p>
    <w:p w:rsidR="00C5183B" w:rsidRDefault="00C5183B" w:rsidP="00C5183B">
      <w:pPr>
        <w:rPr>
          <w:rFonts w:ascii="Helvetica" w:hAnsi="Helvetica"/>
          <w:color w:val="000000"/>
          <w:szCs w:val="22"/>
        </w:rPr>
      </w:pPr>
      <w:r>
        <w:rPr>
          <w:rFonts w:ascii="Helvetica" w:hAnsi="Helvetica"/>
          <w:color w:val="000000"/>
          <w:szCs w:val="22"/>
        </w:rPr>
        <w:t>The guidelines recommend that the following aspects be disclosed:</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Leadership, good gove</w:t>
      </w:r>
      <w:r w:rsidR="00C5183B">
        <w:rPr>
          <w:rFonts w:ascii="Helvetica" w:hAnsi="Helvetica"/>
          <w:iCs/>
          <w:color w:val="000000"/>
          <w:szCs w:val="22"/>
        </w:rPr>
        <w:t>rnance and planning (strategic and</w:t>
      </w:r>
      <w:r w:rsidRPr="00C5183B">
        <w:rPr>
          <w:rFonts w:ascii="Helvetica" w:hAnsi="Helvetica"/>
          <w:iCs/>
          <w:color w:val="000000"/>
          <w:szCs w:val="22"/>
        </w:rPr>
        <w:t xml:space="preserve"> operational)</w:t>
      </w:r>
      <w:r w:rsidR="00C5183B">
        <w:rPr>
          <w:rFonts w:ascii="Helvetica" w:hAnsi="Helvetica"/>
          <w:iCs/>
          <w:color w:val="000000"/>
          <w:szCs w:val="22"/>
        </w:rPr>
        <w:t>;</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Inter-sectoral municipal &amp; consultation with PG, SOE’</w:t>
      </w:r>
      <w:r w:rsidR="00C5183B">
        <w:rPr>
          <w:rFonts w:ascii="Helvetica" w:hAnsi="Helvetica"/>
          <w:iCs/>
          <w:color w:val="000000"/>
          <w:szCs w:val="22"/>
        </w:rPr>
        <w:t xml:space="preserve">s and </w:t>
      </w:r>
      <w:r w:rsidRPr="00C5183B">
        <w:rPr>
          <w:rFonts w:ascii="Helvetica" w:hAnsi="Helvetica"/>
          <w:iCs/>
          <w:color w:val="000000"/>
          <w:szCs w:val="22"/>
        </w:rPr>
        <w:t>National Departments responsible for asset creation for service delivery directly to the public (e.g. SAPS)</w:t>
      </w:r>
      <w:r w:rsidR="00C5183B">
        <w:rPr>
          <w:rFonts w:ascii="Helvetica" w:hAnsi="Helvetica"/>
          <w:iCs/>
          <w:color w:val="000000"/>
          <w:szCs w:val="22"/>
        </w:rPr>
        <w:t>;</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Risk mitigation strategies</w:t>
      </w:r>
      <w:r w:rsidR="00C5183B">
        <w:rPr>
          <w:rFonts w:ascii="Helvetica" w:hAnsi="Helvetica"/>
          <w:iCs/>
          <w:color w:val="000000"/>
          <w:szCs w:val="22"/>
        </w:rPr>
        <w:t>;</w:t>
      </w:r>
    </w:p>
    <w:p w:rsidR="00BA441C" w:rsidRPr="00C5183B"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Operating budget implications</w:t>
      </w:r>
      <w:r w:rsidR="00C5183B">
        <w:rPr>
          <w:rFonts w:ascii="Helvetica" w:hAnsi="Helvetica"/>
          <w:iCs/>
          <w:color w:val="000000"/>
          <w:szCs w:val="22"/>
        </w:rPr>
        <w:t>; and</w:t>
      </w:r>
    </w:p>
    <w:p w:rsidR="00BA441C" w:rsidRDefault="00BA441C" w:rsidP="00665E99">
      <w:pPr>
        <w:numPr>
          <w:ilvl w:val="1"/>
          <w:numId w:val="26"/>
        </w:numPr>
        <w:ind w:left="709" w:hanging="425"/>
        <w:rPr>
          <w:rFonts w:ascii="Helvetica" w:hAnsi="Helvetica"/>
          <w:iCs/>
          <w:color w:val="000000"/>
          <w:szCs w:val="22"/>
        </w:rPr>
      </w:pPr>
      <w:r w:rsidRPr="00C5183B">
        <w:rPr>
          <w:rFonts w:ascii="Helvetica" w:hAnsi="Helvetica"/>
          <w:iCs/>
          <w:color w:val="000000"/>
          <w:szCs w:val="22"/>
        </w:rPr>
        <w:t>City Support Implementation Plan</w:t>
      </w:r>
    </w:p>
    <w:p w:rsidR="00AC4FE2" w:rsidRDefault="00AC4FE2" w:rsidP="00AC4FE2">
      <w:pPr>
        <w:ind w:left="709"/>
        <w:rPr>
          <w:rFonts w:ascii="Helvetica" w:hAnsi="Helvetica"/>
          <w:iCs/>
          <w:color w:val="000000"/>
          <w:szCs w:val="22"/>
        </w:rPr>
      </w:pPr>
    </w:p>
    <w:p w:rsidR="00AC4FE2" w:rsidRPr="00C5183B" w:rsidRDefault="00AC4FE2" w:rsidP="00AC4FE2">
      <w:pPr>
        <w:rPr>
          <w:rFonts w:ascii="Helvetica" w:hAnsi="Helvetica"/>
          <w:iCs/>
          <w:color w:val="000000"/>
          <w:szCs w:val="22"/>
        </w:rPr>
      </w:pPr>
      <w:r>
        <w:rPr>
          <w:rFonts w:ascii="Helvetica" w:hAnsi="Helvetica"/>
          <w:iCs/>
          <w:color w:val="000000"/>
          <w:szCs w:val="22"/>
        </w:rPr>
        <w:t>These requirements are illustrated in the diagram below:</w:t>
      </w:r>
    </w:p>
    <w:p w:rsidR="00C5183B" w:rsidRDefault="00AC4FE2" w:rsidP="00C5183B">
      <w:pPr>
        <w:rPr>
          <w:rFonts w:ascii="Helvetica" w:hAnsi="Helvetica"/>
          <w:color w:val="000000"/>
          <w:szCs w:val="22"/>
        </w:rPr>
      </w:pPr>
      <w:r w:rsidRPr="00AC4FE2">
        <w:rPr>
          <w:rFonts w:ascii="Helvetica" w:hAnsi="Helvetica"/>
          <w:noProof/>
          <w:color w:val="000000"/>
          <w:szCs w:val="22"/>
          <w:lang w:eastAsia="en-ZA"/>
        </w:rPr>
        <w:drawing>
          <wp:inline distT="0" distB="0" distL="0" distR="0" wp14:anchorId="18A36A1B" wp14:editId="502A507E">
            <wp:extent cx="6048375" cy="3524250"/>
            <wp:effectExtent l="19050" t="19050" r="2857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9231" cy="3524749"/>
                    </a:xfrm>
                    <a:prstGeom prst="rect">
                      <a:avLst/>
                    </a:prstGeom>
                    <a:ln>
                      <a:solidFill>
                        <a:schemeClr val="accent6">
                          <a:lumMod val="50000"/>
                        </a:schemeClr>
                      </a:solidFill>
                    </a:ln>
                  </pic:spPr>
                </pic:pic>
              </a:graphicData>
            </a:graphic>
          </wp:inline>
        </w:drawing>
      </w:r>
    </w:p>
    <w:p w:rsidR="00341B15" w:rsidRPr="00C5183B" w:rsidRDefault="00341B15" w:rsidP="00C5183B">
      <w:pPr>
        <w:rPr>
          <w:rFonts w:ascii="Helvetica" w:hAnsi="Helvetica"/>
          <w:color w:val="000000"/>
          <w:szCs w:val="22"/>
        </w:rPr>
      </w:pPr>
    </w:p>
    <w:p w:rsidR="005F3DF7" w:rsidRDefault="005F3DF7">
      <w:pPr>
        <w:spacing w:after="200" w:line="276" w:lineRule="auto"/>
        <w:jc w:val="left"/>
      </w:pPr>
      <w:r>
        <w:br w:type="page"/>
      </w:r>
    </w:p>
    <w:p w:rsidR="00744705" w:rsidRPr="00430374" w:rsidRDefault="005F3DF7" w:rsidP="00665E99">
      <w:pPr>
        <w:pStyle w:val="Heading3"/>
        <w:numPr>
          <w:ilvl w:val="0"/>
          <w:numId w:val="18"/>
        </w:numPr>
      </w:pPr>
      <w:bookmarkStart w:id="12" w:name="_Toc455995467"/>
      <w:r>
        <w:lastRenderedPageBreak/>
        <w:t>Evaluation and Recommendations</w:t>
      </w:r>
      <w:bookmarkEnd w:id="12"/>
    </w:p>
    <w:p w:rsidR="004A06DF" w:rsidRDefault="00F60C9C" w:rsidP="005C3EEC">
      <w:pPr>
        <w:keepNext/>
      </w:pPr>
      <w:r>
        <w:t xml:space="preserve">This section </w:t>
      </w:r>
      <w:r w:rsidR="0064705F">
        <w:t xml:space="preserve">consolidates </w:t>
      </w:r>
      <w:r>
        <w:t xml:space="preserve">the </w:t>
      </w:r>
      <w:r w:rsidR="0064705F">
        <w:t xml:space="preserve">objectives, generally accepted best practice, </w:t>
      </w:r>
      <w:r>
        <w:t xml:space="preserve">observations </w:t>
      </w:r>
      <w:r w:rsidR="0064705F">
        <w:t xml:space="preserve">and recommendations </w:t>
      </w:r>
      <w:r>
        <w:t>arising from the evaluation of the eight metros</w:t>
      </w:r>
      <w:r w:rsidR="0064705F">
        <w:t>.</w:t>
      </w:r>
      <w:r>
        <w:t xml:space="preserve"> The following </w:t>
      </w:r>
      <w:r w:rsidR="0064705F">
        <w:t xml:space="preserve">key </w:t>
      </w:r>
      <w:r w:rsidR="00C728A4">
        <w:t>aspects</w:t>
      </w:r>
      <w:r w:rsidR="0064705F">
        <w:t xml:space="preserve"> </w:t>
      </w:r>
      <w:r>
        <w:t>are discussed in further detail:</w:t>
      </w:r>
    </w:p>
    <w:p w:rsidR="00F60C9C" w:rsidRDefault="008B775B" w:rsidP="00665E99">
      <w:pPr>
        <w:pStyle w:val="ListParagraph"/>
        <w:numPr>
          <w:ilvl w:val="0"/>
          <w:numId w:val="13"/>
        </w:numPr>
      </w:pPr>
      <w:r>
        <w:t>Consolidated</w:t>
      </w:r>
      <w:r w:rsidR="00C728A4">
        <w:t xml:space="preserve"> </w:t>
      </w:r>
      <w:r>
        <w:t xml:space="preserve">metropolitan </w:t>
      </w:r>
      <w:r w:rsidR="00C728A4">
        <w:t xml:space="preserve">capital funding requirements, including </w:t>
      </w:r>
      <w:r w:rsidR="00BA441C">
        <w:t xml:space="preserve">an analysis of the </w:t>
      </w:r>
      <w:r w:rsidR="00C728A4">
        <w:t>funding mix</w:t>
      </w:r>
      <w:r w:rsidR="0017025B">
        <w:t>;</w:t>
      </w:r>
    </w:p>
    <w:p w:rsidR="00C728A4" w:rsidRDefault="00BA441C" w:rsidP="00665E99">
      <w:pPr>
        <w:pStyle w:val="ListParagraph"/>
        <w:numPr>
          <w:ilvl w:val="0"/>
          <w:numId w:val="13"/>
        </w:numPr>
      </w:pPr>
      <w:r>
        <w:t>The</w:t>
      </w:r>
      <w:r w:rsidR="00C728A4">
        <w:t xml:space="preserve"> financial status and borrowing capacity</w:t>
      </w:r>
      <w:r>
        <w:t xml:space="preserve"> of each metropolitan</w:t>
      </w:r>
      <w:r w:rsidR="00C728A4">
        <w:t>, with focus on the following areas:</w:t>
      </w:r>
    </w:p>
    <w:p w:rsidR="00C728A4" w:rsidRDefault="00C728A4" w:rsidP="00665E99">
      <w:pPr>
        <w:pStyle w:val="ListParagraph"/>
        <w:numPr>
          <w:ilvl w:val="1"/>
          <w:numId w:val="13"/>
        </w:numPr>
      </w:pPr>
      <w:r>
        <w:t>Credit ratings;</w:t>
      </w:r>
    </w:p>
    <w:p w:rsidR="00C728A4" w:rsidRDefault="00C728A4" w:rsidP="00665E99">
      <w:pPr>
        <w:pStyle w:val="ListParagraph"/>
        <w:numPr>
          <w:ilvl w:val="1"/>
          <w:numId w:val="13"/>
        </w:numPr>
      </w:pPr>
      <w:r>
        <w:t>Financial ratios;</w:t>
      </w:r>
    </w:p>
    <w:p w:rsidR="00C728A4" w:rsidRDefault="00C728A4" w:rsidP="00665E99">
      <w:pPr>
        <w:pStyle w:val="ListParagraph"/>
        <w:numPr>
          <w:ilvl w:val="1"/>
          <w:numId w:val="13"/>
        </w:numPr>
      </w:pPr>
      <w:r>
        <w:t>Cash-generating project pipeline;</w:t>
      </w:r>
    </w:p>
    <w:p w:rsidR="00C728A4" w:rsidRDefault="00C728A4" w:rsidP="00665E99">
      <w:pPr>
        <w:pStyle w:val="ListParagraph"/>
        <w:numPr>
          <w:ilvl w:val="1"/>
          <w:numId w:val="13"/>
        </w:numPr>
      </w:pPr>
      <w:r>
        <w:t>Long-term financial strategy;</w:t>
      </w:r>
      <w:r w:rsidR="00BA441C">
        <w:t xml:space="preserve"> and</w:t>
      </w:r>
    </w:p>
    <w:p w:rsidR="00C728A4" w:rsidRDefault="008B775B" w:rsidP="00665E99">
      <w:pPr>
        <w:pStyle w:val="ListParagraph"/>
        <w:numPr>
          <w:ilvl w:val="1"/>
          <w:numId w:val="13"/>
        </w:numPr>
      </w:pPr>
      <w:r>
        <w:t>O</w:t>
      </w:r>
      <w:r w:rsidR="00034E30">
        <w:t>ff-balance sheet initiatives</w:t>
      </w:r>
      <w:r w:rsidR="00C728A4">
        <w:t>;</w:t>
      </w:r>
    </w:p>
    <w:p w:rsidR="00C728A4" w:rsidRDefault="00556BC8" w:rsidP="00665E99">
      <w:pPr>
        <w:pStyle w:val="ListParagraph"/>
        <w:numPr>
          <w:ilvl w:val="0"/>
          <w:numId w:val="13"/>
        </w:numPr>
      </w:pPr>
      <w:r>
        <w:t>Project pipeline and funding;</w:t>
      </w:r>
      <w:r w:rsidR="00BA441C">
        <w:t xml:space="preserve"> and</w:t>
      </w:r>
    </w:p>
    <w:p w:rsidR="00556BC8" w:rsidRDefault="00556BC8" w:rsidP="00665E99">
      <w:pPr>
        <w:pStyle w:val="ListParagraph"/>
        <w:numPr>
          <w:ilvl w:val="0"/>
          <w:numId w:val="13"/>
        </w:numPr>
      </w:pPr>
      <w:r>
        <w:t xml:space="preserve">Risk identification </w:t>
      </w:r>
      <w:r w:rsidR="00BA441C">
        <w:t>and mitigation</w:t>
      </w:r>
    </w:p>
    <w:p w:rsidR="008B775B" w:rsidRDefault="008B775B" w:rsidP="00665E99">
      <w:pPr>
        <w:pStyle w:val="Heading3"/>
        <w:numPr>
          <w:ilvl w:val="1"/>
          <w:numId w:val="18"/>
        </w:numPr>
      </w:pPr>
      <w:bookmarkStart w:id="13" w:name="_Toc455995468"/>
      <w:r>
        <w:t>Consolidated Metro Capital Funding Requirements</w:t>
      </w:r>
      <w:bookmarkEnd w:id="13"/>
    </w:p>
    <w:p w:rsidR="008B775B" w:rsidRDefault="00F43D6D" w:rsidP="008B775B">
      <w:r>
        <w:t xml:space="preserve">As illustrated below, metros remain significantly dependent on grant funding to finance catalytic infrastructure projects. </w:t>
      </w:r>
    </w:p>
    <w:p w:rsidR="008B775B" w:rsidRDefault="008B775B" w:rsidP="008B775B"/>
    <w:tbl>
      <w:tblPr>
        <w:tblW w:w="5000" w:type="pct"/>
        <w:tblCellMar>
          <w:left w:w="0" w:type="dxa"/>
          <w:right w:w="0" w:type="dxa"/>
        </w:tblCellMar>
        <w:tblLook w:val="0600" w:firstRow="0" w:lastRow="0" w:firstColumn="0" w:lastColumn="0" w:noHBand="1" w:noVBand="1"/>
      </w:tblPr>
      <w:tblGrid>
        <w:gridCol w:w="2718"/>
        <w:gridCol w:w="1653"/>
        <w:gridCol w:w="1653"/>
        <w:gridCol w:w="1653"/>
        <w:gridCol w:w="1651"/>
      </w:tblGrid>
      <w:tr w:rsidR="00F43D6D" w:rsidRPr="00F43D6D" w:rsidTr="00F43D6D">
        <w:trPr>
          <w:trHeight w:val="209"/>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F43D6D" w:rsidRPr="00F43D6D" w:rsidRDefault="00F43D6D" w:rsidP="00F43D6D">
            <w:pPr>
              <w:spacing w:line="240" w:lineRule="auto"/>
              <w:jc w:val="center"/>
              <w:textAlignment w:val="bottom"/>
              <w:rPr>
                <w:rFonts w:cs="Arial"/>
                <w:b/>
                <w:sz w:val="36"/>
                <w:szCs w:val="36"/>
                <w:lang w:eastAsia="en-ZA"/>
              </w:rPr>
            </w:pPr>
            <w:r w:rsidRPr="00F43D6D">
              <w:rPr>
                <w:rFonts w:ascii="Calibri" w:hAnsi="Calibri" w:cs="Arial"/>
                <w:b/>
                <w:color w:val="984807"/>
                <w:kern w:val="24"/>
                <w:sz w:val="20"/>
                <w:lang w:eastAsia="en-ZA"/>
              </w:rPr>
              <w:t>Metro</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center"/>
              <w:rPr>
                <w:rFonts w:cs="Arial"/>
                <w:sz w:val="36"/>
                <w:szCs w:val="36"/>
                <w:lang w:eastAsia="en-ZA"/>
              </w:rPr>
            </w:pPr>
            <w:r w:rsidRPr="00F43D6D">
              <w:rPr>
                <w:rFonts w:ascii="Calibri" w:hAnsi="Calibri" w:cs="Arial"/>
                <w:b/>
                <w:bCs/>
                <w:color w:val="984807"/>
                <w:kern w:val="24"/>
                <w:sz w:val="20"/>
                <w:lang w:eastAsia="en-ZA"/>
              </w:rPr>
              <w:t xml:space="preserve">Grants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center"/>
              <w:rPr>
                <w:rFonts w:cs="Arial"/>
                <w:sz w:val="36"/>
                <w:szCs w:val="36"/>
                <w:lang w:eastAsia="en-ZA"/>
              </w:rPr>
            </w:pPr>
            <w:r w:rsidRPr="00F43D6D">
              <w:rPr>
                <w:rFonts w:ascii="Calibri" w:hAnsi="Calibri" w:cs="Arial"/>
                <w:b/>
                <w:bCs/>
                <w:color w:val="984807"/>
                <w:kern w:val="24"/>
                <w:sz w:val="20"/>
                <w:lang w:eastAsia="en-ZA"/>
              </w:rPr>
              <w:t xml:space="preserve">External loans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center"/>
              <w:rPr>
                <w:rFonts w:cs="Arial"/>
                <w:sz w:val="36"/>
                <w:szCs w:val="36"/>
                <w:lang w:eastAsia="en-ZA"/>
              </w:rPr>
            </w:pPr>
            <w:r w:rsidRPr="00F43D6D">
              <w:rPr>
                <w:rFonts w:ascii="Calibri" w:hAnsi="Calibri" w:cs="Arial"/>
                <w:b/>
                <w:bCs/>
                <w:color w:val="984807"/>
                <w:kern w:val="24"/>
                <w:sz w:val="20"/>
                <w:lang w:eastAsia="en-ZA"/>
              </w:rPr>
              <w:t xml:space="preserve"> Own Revenue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center"/>
              <w:rPr>
                <w:rFonts w:cs="Arial"/>
                <w:sz w:val="36"/>
                <w:szCs w:val="36"/>
                <w:lang w:eastAsia="en-ZA"/>
              </w:rPr>
            </w:pPr>
            <w:r w:rsidRPr="00F43D6D">
              <w:rPr>
                <w:rFonts w:ascii="Calibri" w:hAnsi="Calibri" w:cs="Arial"/>
                <w:b/>
                <w:bCs/>
                <w:color w:val="984807"/>
                <w:kern w:val="24"/>
                <w:sz w:val="20"/>
                <w:lang w:eastAsia="en-ZA"/>
              </w:rPr>
              <w:t xml:space="preserve">Capital Budget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Buffalo City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925</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425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1,350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Nelson Mandela Bay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1,032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565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1,597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Mangaung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793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1,072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527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2,392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Ekurhuleni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2,200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1,812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945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4,957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City of Johannesburg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2,891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2,506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4,454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9,851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City of Tshwane</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2,507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1,200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285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3,992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eThekwini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3,682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1,000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1,753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6,435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top"/>
              <w:rPr>
                <w:rFonts w:cs="Arial"/>
                <w:sz w:val="36"/>
                <w:szCs w:val="36"/>
                <w:lang w:eastAsia="en-ZA"/>
              </w:rPr>
            </w:pPr>
            <w:r w:rsidRPr="00F43D6D">
              <w:rPr>
                <w:rFonts w:ascii="Calibri" w:hAnsi="Calibri" w:cs="Arial"/>
                <w:b/>
                <w:bCs/>
                <w:color w:val="984807"/>
                <w:kern w:val="24"/>
                <w:sz w:val="20"/>
                <w:lang w:eastAsia="en-ZA"/>
              </w:rPr>
              <w:t xml:space="preserve">City of Cape Town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2,382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1,500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845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color w:val="984807"/>
                <w:kern w:val="24"/>
                <w:sz w:val="20"/>
                <w:lang w:eastAsia="en-ZA"/>
              </w:rPr>
              <w:t xml:space="preserve">              4,727 </w:t>
            </w:r>
          </w:p>
        </w:tc>
      </w:tr>
      <w:tr w:rsidR="00F43D6D" w:rsidRPr="00F43D6D" w:rsidTr="00F43D6D">
        <w:trPr>
          <w:trHeight w:val="57"/>
        </w:trPr>
        <w:tc>
          <w:tcPr>
            <w:tcW w:w="145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left"/>
              <w:textAlignment w:val="bottom"/>
              <w:rPr>
                <w:rFonts w:cs="Arial"/>
                <w:sz w:val="36"/>
                <w:szCs w:val="36"/>
                <w:lang w:eastAsia="en-ZA"/>
              </w:rPr>
            </w:pPr>
            <w:r w:rsidRPr="00F43D6D">
              <w:rPr>
                <w:rFonts w:ascii="Calibri" w:hAnsi="Calibri" w:cs="Arial"/>
                <w:b/>
                <w:bCs/>
                <w:color w:val="984807"/>
                <w:kern w:val="24"/>
                <w:sz w:val="20"/>
                <w:lang w:eastAsia="en-ZA"/>
              </w:rPr>
              <w:t>Total</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b/>
                <w:bCs/>
                <w:color w:val="984807"/>
                <w:kern w:val="24"/>
                <w:sz w:val="20"/>
                <w:lang w:eastAsia="en-ZA"/>
              </w:rPr>
              <w:t xml:space="preserve">           16,412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b/>
                <w:bCs/>
                <w:color w:val="984807"/>
                <w:kern w:val="24"/>
                <w:sz w:val="20"/>
                <w:lang w:eastAsia="en-ZA"/>
              </w:rPr>
              <w:t xml:space="preserve">              9,090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b/>
                <w:bCs/>
                <w:color w:val="984807"/>
                <w:kern w:val="24"/>
                <w:sz w:val="20"/>
                <w:lang w:eastAsia="en-ZA"/>
              </w:rPr>
              <w:t xml:space="preserve">             9,799 </w:t>
            </w:r>
          </w:p>
        </w:tc>
        <w:tc>
          <w:tcPr>
            <w:tcW w:w="88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hideMark/>
          </w:tcPr>
          <w:p w:rsidR="00F43D6D" w:rsidRPr="00F43D6D" w:rsidRDefault="00F43D6D" w:rsidP="00F43D6D">
            <w:pPr>
              <w:spacing w:line="240" w:lineRule="auto"/>
              <w:jc w:val="right"/>
              <w:textAlignment w:val="bottom"/>
              <w:rPr>
                <w:rFonts w:cs="Arial"/>
                <w:sz w:val="36"/>
                <w:szCs w:val="36"/>
                <w:lang w:eastAsia="en-ZA"/>
              </w:rPr>
            </w:pPr>
            <w:r w:rsidRPr="00F43D6D">
              <w:rPr>
                <w:rFonts w:ascii="Calibri" w:hAnsi="Calibri" w:cs="Arial"/>
                <w:b/>
                <w:bCs/>
                <w:color w:val="984807"/>
                <w:kern w:val="24"/>
                <w:sz w:val="20"/>
                <w:lang w:eastAsia="en-ZA"/>
              </w:rPr>
              <w:t xml:space="preserve">           35,301 </w:t>
            </w:r>
          </w:p>
        </w:tc>
      </w:tr>
    </w:tbl>
    <w:p w:rsidR="008B775B" w:rsidRDefault="008B775B" w:rsidP="008B775B"/>
    <w:tbl>
      <w:tblPr>
        <w:tblW w:w="5032" w:type="pct"/>
        <w:tblCellMar>
          <w:left w:w="0" w:type="dxa"/>
          <w:right w:w="0" w:type="dxa"/>
        </w:tblCellMar>
        <w:tblLook w:val="0600" w:firstRow="0" w:lastRow="0" w:firstColumn="0" w:lastColumn="0" w:noHBand="1" w:noVBand="1"/>
      </w:tblPr>
      <w:tblGrid>
        <w:gridCol w:w="1728"/>
        <w:gridCol w:w="1727"/>
        <w:gridCol w:w="1928"/>
        <w:gridCol w:w="1928"/>
        <w:gridCol w:w="2077"/>
      </w:tblGrid>
      <w:tr w:rsidR="00F43D6D" w:rsidRPr="00F43D6D" w:rsidTr="005B49FD">
        <w:trPr>
          <w:trHeight w:val="21"/>
        </w:trPr>
        <w:tc>
          <w:tcPr>
            <w:tcW w:w="5000" w:type="pct"/>
            <w:gridSpan w:val="5"/>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bottom"/>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Consolidated Capital Funding Mix</w:t>
            </w:r>
          </w:p>
        </w:tc>
      </w:tr>
      <w:tr w:rsidR="00F43D6D" w:rsidRPr="00F43D6D" w:rsidTr="005B49FD">
        <w:trPr>
          <w:trHeight w:val="21"/>
        </w:trPr>
        <w:tc>
          <w:tcPr>
            <w:tcW w:w="920"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left"/>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 </w:t>
            </w:r>
          </w:p>
        </w:tc>
        <w:tc>
          <w:tcPr>
            <w:tcW w:w="920" w:type="pct"/>
            <w:tcBorders>
              <w:top w:val="single" w:sz="8" w:space="0" w:color="F79646"/>
              <w:left w:val="single" w:sz="8" w:space="0" w:color="F79646"/>
              <w:bottom w:val="single" w:sz="8" w:space="0" w:color="F79646"/>
              <w:right w:val="single" w:sz="8" w:space="0" w:color="F79646"/>
            </w:tcBorders>
            <w:shd w:val="clear" w:color="auto" w:fill="E36C0A" w:themeFill="accent6" w:themeFillShade="BF"/>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FFFFFF" w:themeColor="background1"/>
                <w:kern w:val="24"/>
                <w:sz w:val="20"/>
                <w:lang w:eastAsia="en-ZA"/>
              </w:rPr>
            </w:pPr>
            <w:r w:rsidRPr="00F43D6D">
              <w:rPr>
                <w:rFonts w:ascii="Calibri" w:hAnsi="Calibri" w:cs="Arial"/>
                <w:b/>
                <w:bCs/>
                <w:color w:val="FFFFFF" w:themeColor="background1"/>
                <w:kern w:val="24"/>
                <w:sz w:val="20"/>
                <w:lang w:eastAsia="en-ZA"/>
              </w:rPr>
              <w:t xml:space="preserve">Grants </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 xml:space="preserve">External loans  </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 xml:space="preserve"> Own Revenue </w:t>
            </w:r>
          </w:p>
        </w:tc>
        <w:tc>
          <w:tcPr>
            <w:tcW w:w="110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 xml:space="preserve">Capital Budget </w:t>
            </w:r>
          </w:p>
        </w:tc>
      </w:tr>
      <w:tr w:rsidR="00F43D6D" w:rsidRPr="00F43D6D" w:rsidTr="005B49FD">
        <w:trPr>
          <w:trHeight w:val="21"/>
        </w:trPr>
        <w:tc>
          <w:tcPr>
            <w:tcW w:w="920"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left"/>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w:t>
            </w:r>
          </w:p>
        </w:tc>
        <w:tc>
          <w:tcPr>
            <w:tcW w:w="920" w:type="pct"/>
            <w:tcBorders>
              <w:top w:val="single" w:sz="8" w:space="0" w:color="F79646"/>
              <w:left w:val="single" w:sz="8" w:space="0" w:color="F79646"/>
              <w:bottom w:val="single" w:sz="8" w:space="0" w:color="F79646"/>
              <w:right w:val="single" w:sz="8" w:space="0" w:color="F79646"/>
            </w:tcBorders>
            <w:shd w:val="clear" w:color="auto" w:fill="E36C0A" w:themeFill="accent6" w:themeFillShade="BF"/>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FFFFFF" w:themeColor="background1"/>
                <w:kern w:val="24"/>
                <w:sz w:val="20"/>
                <w:lang w:eastAsia="en-ZA"/>
              </w:rPr>
            </w:pPr>
            <w:r w:rsidRPr="00F43D6D">
              <w:rPr>
                <w:rFonts w:ascii="Calibri" w:hAnsi="Calibri" w:cs="Arial"/>
                <w:b/>
                <w:bCs/>
                <w:color w:val="FFFFFF" w:themeColor="background1"/>
                <w:kern w:val="24"/>
                <w:sz w:val="20"/>
                <w:lang w:eastAsia="en-ZA"/>
              </w:rPr>
              <w:t>46</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26</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28</w:t>
            </w:r>
          </w:p>
        </w:tc>
        <w:tc>
          <w:tcPr>
            <w:tcW w:w="110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100</w:t>
            </w:r>
          </w:p>
        </w:tc>
      </w:tr>
      <w:tr w:rsidR="00F43D6D" w:rsidRPr="00F43D6D" w:rsidTr="005B49FD">
        <w:trPr>
          <w:trHeight w:val="21"/>
        </w:trPr>
        <w:tc>
          <w:tcPr>
            <w:tcW w:w="920"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left"/>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Total</w:t>
            </w:r>
          </w:p>
        </w:tc>
        <w:tc>
          <w:tcPr>
            <w:tcW w:w="920" w:type="pct"/>
            <w:tcBorders>
              <w:top w:val="single" w:sz="8" w:space="0" w:color="F79646"/>
              <w:left w:val="single" w:sz="8" w:space="0" w:color="F79646"/>
              <w:bottom w:val="single" w:sz="8" w:space="0" w:color="F79646"/>
              <w:right w:val="single" w:sz="8" w:space="0" w:color="F79646"/>
            </w:tcBorders>
            <w:shd w:val="clear" w:color="auto" w:fill="E36C0A" w:themeFill="accent6" w:themeFillShade="BF"/>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FFFFFF" w:themeColor="background1"/>
                <w:kern w:val="24"/>
                <w:sz w:val="20"/>
                <w:lang w:eastAsia="en-ZA"/>
              </w:rPr>
            </w:pPr>
            <w:r w:rsidRPr="00F43D6D">
              <w:rPr>
                <w:rFonts w:ascii="Calibri" w:hAnsi="Calibri" w:cs="Arial"/>
                <w:b/>
                <w:bCs/>
                <w:color w:val="FFFFFF" w:themeColor="background1"/>
                <w:kern w:val="24"/>
                <w:sz w:val="20"/>
                <w:lang w:eastAsia="en-ZA"/>
              </w:rPr>
              <w:t>16,412</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9,090</w:t>
            </w:r>
          </w:p>
        </w:tc>
        <w:tc>
          <w:tcPr>
            <w:tcW w:w="1027"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9,799</w:t>
            </w:r>
          </w:p>
        </w:tc>
        <w:tc>
          <w:tcPr>
            <w:tcW w:w="1106" w:type="pct"/>
            <w:tcBorders>
              <w:top w:val="single" w:sz="8" w:space="0" w:color="F79646"/>
              <w:left w:val="single" w:sz="8" w:space="0" w:color="F79646"/>
              <w:bottom w:val="single" w:sz="8" w:space="0" w:color="F79646"/>
              <w:right w:val="single" w:sz="8" w:space="0" w:color="F79646"/>
            </w:tcBorders>
            <w:shd w:val="clear" w:color="auto" w:fill="FDEFE9"/>
            <w:tcMar>
              <w:top w:w="15" w:type="dxa"/>
              <w:left w:w="15" w:type="dxa"/>
              <w:bottom w:w="0" w:type="dxa"/>
              <w:right w:w="15" w:type="dxa"/>
            </w:tcMar>
            <w:vAlign w:val="center"/>
            <w:hideMark/>
          </w:tcPr>
          <w:p w:rsidR="00F43D6D" w:rsidRPr="00F43D6D" w:rsidRDefault="00F43D6D" w:rsidP="00F43D6D">
            <w:pPr>
              <w:spacing w:line="240" w:lineRule="auto"/>
              <w:jc w:val="center"/>
              <w:textAlignment w:val="top"/>
              <w:rPr>
                <w:rFonts w:ascii="Calibri" w:hAnsi="Calibri" w:cs="Arial"/>
                <w:b/>
                <w:bCs/>
                <w:color w:val="984807"/>
                <w:kern w:val="24"/>
                <w:sz w:val="20"/>
                <w:lang w:eastAsia="en-ZA"/>
              </w:rPr>
            </w:pPr>
            <w:r w:rsidRPr="00F43D6D">
              <w:rPr>
                <w:rFonts w:ascii="Calibri" w:hAnsi="Calibri" w:cs="Arial"/>
                <w:b/>
                <w:bCs/>
                <w:color w:val="984807"/>
                <w:kern w:val="24"/>
                <w:sz w:val="20"/>
                <w:lang w:eastAsia="en-ZA"/>
              </w:rPr>
              <w:t>35,301</w:t>
            </w:r>
          </w:p>
        </w:tc>
      </w:tr>
    </w:tbl>
    <w:p w:rsidR="00F43D6D" w:rsidRDefault="00F43D6D" w:rsidP="008B775B"/>
    <w:p w:rsidR="008B775B" w:rsidRDefault="00634AD8" w:rsidP="008B775B">
      <w:r>
        <w:rPr>
          <w:noProof/>
          <w:lang w:eastAsia="en-ZA"/>
        </w:rPr>
        <w:lastRenderedPageBreak/>
        <w:drawing>
          <wp:inline distT="0" distB="0" distL="0" distR="0" wp14:anchorId="025EE4F1" wp14:editId="0D81AC00">
            <wp:extent cx="5919470" cy="256032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9470" cy="2560320"/>
                    </a:xfrm>
                    <a:prstGeom prst="rect">
                      <a:avLst/>
                    </a:prstGeom>
                    <a:noFill/>
                  </pic:spPr>
                </pic:pic>
              </a:graphicData>
            </a:graphic>
          </wp:inline>
        </w:drawing>
      </w:r>
    </w:p>
    <w:p w:rsidR="00B80A9F" w:rsidRDefault="00B80A9F" w:rsidP="008B775B"/>
    <w:p w:rsidR="00B80A9F" w:rsidRDefault="00634AD8" w:rsidP="008B775B">
      <w:r>
        <w:rPr>
          <w:noProof/>
          <w:lang w:eastAsia="en-ZA"/>
        </w:rPr>
        <w:drawing>
          <wp:inline distT="0" distB="0" distL="0" distR="0" wp14:anchorId="42B02331" wp14:editId="7A42D934">
            <wp:extent cx="5907405" cy="2542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7405" cy="2542540"/>
                    </a:xfrm>
                    <a:prstGeom prst="rect">
                      <a:avLst/>
                    </a:prstGeom>
                    <a:noFill/>
                  </pic:spPr>
                </pic:pic>
              </a:graphicData>
            </a:graphic>
          </wp:inline>
        </w:drawing>
      </w:r>
    </w:p>
    <w:p w:rsidR="00B80A9F" w:rsidRDefault="00B80A9F" w:rsidP="008B775B"/>
    <w:p w:rsidR="008B775B" w:rsidRDefault="008B775B" w:rsidP="008B775B">
      <w:r>
        <w:t>Metros utilise three sources of funding:</w:t>
      </w:r>
    </w:p>
    <w:p w:rsidR="008B775B" w:rsidRDefault="008B775B" w:rsidP="00665E99">
      <w:pPr>
        <w:pStyle w:val="ListParagraph"/>
        <w:numPr>
          <w:ilvl w:val="0"/>
          <w:numId w:val="15"/>
        </w:numPr>
      </w:pPr>
      <w:r>
        <w:t>Grant funding;</w:t>
      </w:r>
    </w:p>
    <w:p w:rsidR="008B775B" w:rsidRDefault="008B775B" w:rsidP="00665E99">
      <w:pPr>
        <w:pStyle w:val="ListParagraph"/>
        <w:numPr>
          <w:ilvl w:val="0"/>
          <w:numId w:val="15"/>
        </w:numPr>
      </w:pPr>
      <w:r>
        <w:t>Borrowings; and</w:t>
      </w:r>
    </w:p>
    <w:p w:rsidR="008B775B" w:rsidRDefault="008B775B" w:rsidP="00665E99">
      <w:pPr>
        <w:pStyle w:val="ListParagraph"/>
        <w:numPr>
          <w:ilvl w:val="0"/>
          <w:numId w:val="15"/>
        </w:numPr>
      </w:pPr>
      <w:r>
        <w:t>Internal funding (including own revenues and public contributions)</w:t>
      </w:r>
    </w:p>
    <w:p w:rsidR="008B775B" w:rsidRDefault="008B775B" w:rsidP="008B775B"/>
    <w:p w:rsidR="008B775B" w:rsidRDefault="008B775B" w:rsidP="008B775B">
      <w:r>
        <w:t xml:space="preserve">As is evident from the graph above, </w:t>
      </w:r>
      <w:r w:rsidR="00616F88">
        <w:t xml:space="preserve">46% of the combined total </w:t>
      </w:r>
      <w:r>
        <w:t xml:space="preserve">capital projects are financed through grant funding; whilst borrowings account for </w:t>
      </w:r>
      <w:r w:rsidR="00616F88">
        <w:t>26</w:t>
      </w:r>
      <w:r>
        <w:t>%, with int</w:t>
      </w:r>
      <w:r w:rsidR="00187586">
        <w:t xml:space="preserve">ernal funding making up </w:t>
      </w:r>
      <w:r w:rsidR="00616F88">
        <w:t>28</w:t>
      </w:r>
      <w:r>
        <w:t>%</w:t>
      </w:r>
      <w:r w:rsidR="00616F88">
        <w:t xml:space="preserve"> of total funding requirements</w:t>
      </w:r>
      <w:r w:rsidR="00187586">
        <w:t xml:space="preserve"> (noting that CoJ portion is 45% of the total internal funding component)</w:t>
      </w:r>
      <w:r w:rsidR="00616F88">
        <w:t>. The individual funding mix for each metro is detailed in the table which follows:</w:t>
      </w:r>
    </w:p>
    <w:p w:rsidR="00616F88" w:rsidRDefault="00616F88">
      <w:pPr>
        <w:spacing w:after="200" w:line="276" w:lineRule="auto"/>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1543"/>
        <w:gridCol w:w="1543"/>
        <w:gridCol w:w="1543"/>
      </w:tblGrid>
      <w:tr w:rsidR="00616F88" w:rsidRPr="00616F88" w:rsidTr="00616F88">
        <w:trPr>
          <w:trHeight w:val="315"/>
        </w:trPr>
        <w:tc>
          <w:tcPr>
            <w:tcW w:w="2566" w:type="pct"/>
            <w:shd w:val="clear" w:color="000000" w:fill="FCD5B4"/>
            <w:noWrap/>
            <w:vAlign w:val="bottom"/>
            <w:hideMark/>
          </w:tcPr>
          <w:p w:rsidR="00616F88" w:rsidRPr="00616F88" w:rsidRDefault="00616F88" w:rsidP="00616F88">
            <w:pPr>
              <w:spacing w:line="240" w:lineRule="auto"/>
              <w:jc w:val="left"/>
              <w:rPr>
                <w:rFonts w:ascii="Calibri" w:hAnsi="Calibri"/>
                <w:b/>
                <w:bCs/>
                <w:color w:val="000000"/>
                <w:szCs w:val="22"/>
                <w:lang w:eastAsia="en-ZA"/>
              </w:rPr>
            </w:pPr>
            <w:r w:rsidRPr="00616F88">
              <w:rPr>
                <w:rFonts w:ascii="Calibri" w:hAnsi="Calibri"/>
                <w:b/>
                <w:bCs/>
                <w:color w:val="000000"/>
                <w:szCs w:val="22"/>
                <w:lang w:eastAsia="en-ZA"/>
              </w:rPr>
              <w:lastRenderedPageBreak/>
              <w:t>Metro</w:t>
            </w:r>
          </w:p>
        </w:tc>
        <w:tc>
          <w:tcPr>
            <w:tcW w:w="811" w:type="pct"/>
            <w:shd w:val="clear" w:color="000000" w:fill="FCD5B4"/>
            <w:vAlign w:val="center"/>
            <w:hideMark/>
          </w:tcPr>
          <w:p w:rsidR="00616F88" w:rsidRPr="00616F88" w:rsidRDefault="00616F88" w:rsidP="00616F88">
            <w:pPr>
              <w:spacing w:line="240" w:lineRule="auto"/>
              <w:rPr>
                <w:rFonts w:cs="Arial"/>
                <w:b/>
                <w:bCs/>
                <w:color w:val="000000"/>
                <w:sz w:val="18"/>
                <w:szCs w:val="18"/>
                <w:lang w:eastAsia="en-ZA"/>
              </w:rPr>
            </w:pPr>
            <w:r>
              <w:rPr>
                <w:rFonts w:cs="Arial"/>
                <w:b/>
                <w:bCs/>
                <w:color w:val="000000"/>
                <w:sz w:val="18"/>
                <w:szCs w:val="18"/>
                <w:lang w:eastAsia="en-ZA"/>
              </w:rPr>
              <w:t>Grants</w:t>
            </w:r>
          </w:p>
        </w:tc>
        <w:tc>
          <w:tcPr>
            <w:tcW w:w="811" w:type="pct"/>
            <w:shd w:val="clear" w:color="000000" w:fill="FCD5B4"/>
            <w:vAlign w:val="center"/>
            <w:hideMark/>
          </w:tcPr>
          <w:p w:rsidR="00616F88" w:rsidRPr="00616F88" w:rsidRDefault="00616F88" w:rsidP="00616F88">
            <w:pPr>
              <w:spacing w:line="240" w:lineRule="auto"/>
              <w:jc w:val="center"/>
              <w:rPr>
                <w:rFonts w:cs="Arial"/>
                <w:b/>
                <w:bCs/>
                <w:color w:val="000000"/>
                <w:sz w:val="18"/>
                <w:szCs w:val="18"/>
                <w:lang w:eastAsia="en-ZA"/>
              </w:rPr>
            </w:pPr>
            <w:r>
              <w:rPr>
                <w:rFonts w:cs="Arial"/>
                <w:b/>
                <w:bCs/>
                <w:color w:val="000000"/>
                <w:sz w:val="18"/>
                <w:szCs w:val="18"/>
                <w:lang w:eastAsia="en-ZA"/>
              </w:rPr>
              <w:t>Borrowing</w:t>
            </w:r>
          </w:p>
        </w:tc>
        <w:tc>
          <w:tcPr>
            <w:tcW w:w="811" w:type="pct"/>
            <w:shd w:val="clear" w:color="000000" w:fill="FCD5B4"/>
            <w:vAlign w:val="center"/>
            <w:hideMark/>
          </w:tcPr>
          <w:p w:rsidR="00616F88" w:rsidRPr="00616F88" w:rsidRDefault="00616F88" w:rsidP="00616F88">
            <w:pPr>
              <w:spacing w:line="240" w:lineRule="auto"/>
              <w:jc w:val="center"/>
              <w:rPr>
                <w:rFonts w:cs="Arial"/>
                <w:b/>
                <w:bCs/>
                <w:color w:val="000000"/>
                <w:sz w:val="18"/>
                <w:szCs w:val="18"/>
                <w:lang w:eastAsia="en-ZA"/>
              </w:rPr>
            </w:pPr>
            <w:r>
              <w:rPr>
                <w:rFonts w:cs="Arial"/>
                <w:b/>
                <w:bCs/>
                <w:color w:val="000000"/>
                <w:sz w:val="18"/>
                <w:szCs w:val="18"/>
                <w:lang w:eastAsia="en-ZA"/>
              </w:rPr>
              <w:t>Internal</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Mangaung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33%</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45%</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22%</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Ekurhuleni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44%</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37%</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19%</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City of Cape Town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50%</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32%</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18%</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City of Tshwane</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63%</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30%</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7%</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City of Johannesburg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29%</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25%</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45%</w:t>
            </w:r>
          </w:p>
        </w:tc>
      </w:tr>
      <w:tr w:rsidR="00616F88" w:rsidRPr="00616F88" w:rsidTr="00616F88">
        <w:trPr>
          <w:trHeight w:val="300"/>
        </w:trPr>
        <w:tc>
          <w:tcPr>
            <w:tcW w:w="2566" w:type="pct"/>
            <w:shd w:val="clear" w:color="000000" w:fill="FCD5B4"/>
            <w:noWrap/>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eThekwini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57%</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16%</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27%</w:t>
            </w:r>
          </w:p>
        </w:tc>
      </w:tr>
      <w:tr w:rsidR="00616F88" w:rsidRPr="00616F88" w:rsidTr="00616F88">
        <w:trPr>
          <w:trHeight w:val="300"/>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Buffalo City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69%</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0%</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31%</w:t>
            </w:r>
          </w:p>
        </w:tc>
      </w:tr>
      <w:tr w:rsidR="00616F88" w:rsidRPr="00616F88" w:rsidTr="00616F88">
        <w:trPr>
          <w:trHeight w:val="315"/>
        </w:trPr>
        <w:tc>
          <w:tcPr>
            <w:tcW w:w="2566" w:type="pct"/>
            <w:shd w:val="clear" w:color="000000" w:fill="FCD5B4"/>
            <w:hideMark/>
          </w:tcPr>
          <w:p w:rsidR="00616F88" w:rsidRPr="00616F88" w:rsidRDefault="00616F88" w:rsidP="00616F88">
            <w:pPr>
              <w:spacing w:line="240" w:lineRule="auto"/>
              <w:jc w:val="left"/>
              <w:rPr>
                <w:rFonts w:ascii="Calibri" w:hAnsi="Calibri"/>
                <w:color w:val="000000"/>
                <w:szCs w:val="22"/>
                <w:lang w:eastAsia="en-ZA"/>
              </w:rPr>
            </w:pPr>
            <w:r w:rsidRPr="00616F88">
              <w:rPr>
                <w:rFonts w:ascii="Calibri" w:hAnsi="Calibri"/>
                <w:color w:val="000000"/>
                <w:szCs w:val="22"/>
                <w:lang w:eastAsia="en-ZA"/>
              </w:rPr>
              <w:t xml:space="preserve">Nelson Mandela Bay </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65%</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0%</w:t>
            </w:r>
          </w:p>
        </w:tc>
        <w:tc>
          <w:tcPr>
            <w:tcW w:w="811" w:type="pct"/>
            <w:shd w:val="clear" w:color="000000" w:fill="FCD5B4"/>
            <w:noWrap/>
            <w:vAlign w:val="bottom"/>
            <w:hideMark/>
          </w:tcPr>
          <w:p w:rsidR="00616F88" w:rsidRPr="00616F88" w:rsidRDefault="00616F88" w:rsidP="00616F88">
            <w:pPr>
              <w:spacing w:line="240" w:lineRule="auto"/>
              <w:jc w:val="right"/>
              <w:rPr>
                <w:rFonts w:ascii="Calibri" w:hAnsi="Calibri"/>
                <w:color w:val="000000"/>
                <w:szCs w:val="22"/>
                <w:lang w:eastAsia="en-ZA"/>
              </w:rPr>
            </w:pPr>
            <w:r w:rsidRPr="00616F88">
              <w:rPr>
                <w:rFonts w:ascii="Calibri" w:hAnsi="Calibri"/>
                <w:color w:val="000000"/>
                <w:szCs w:val="22"/>
                <w:lang w:eastAsia="en-ZA"/>
              </w:rPr>
              <w:t>35%</w:t>
            </w:r>
          </w:p>
        </w:tc>
      </w:tr>
    </w:tbl>
    <w:p w:rsidR="00616F88" w:rsidRDefault="00616F88" w:rsidP="008B775B"/>
    <w:p w:rsidR="008B775B" w:rsidRDefault="008B775B" w:rsidP="008B775B">
      <w:r>
        <w:t>The significant dependence on grant funding</w:t>
      </w:r>
      <w:r w:rsidR="00616F88">
        <w:t xml:space="preserve"> ranging between 29% (City of Johannesburg) and 69% (Buffalo City) of individual metro capital budgets, remains a </w:t>
      </w:r>
      <w:r>
        <w:t xml:space="preserve">cause for concern, without which metros will </w:t>
      </w:r>
      <w:r w:rsidR="00616F88">
        <w:t>be severely compromised in d</w:t>
      </w:r>
      <w:r>
        <w:t>eliver</w:t>
      </w:r>
      <w:r w:rsidR="00616F88">
        <w:t>ing</w:t>
      </w:r>
      <w:r>
        <w:t xml:space="preserve"> against their mandates. Whilst borrowings for most metros are within an acceptable range, the cost of borrowings as well as the questionable bankability of catalytic projects are both deterrents in this respect. Clearly metros have to implement interventions to become financially independent through which they would be able to finance a greater portion of the infrastructure portions. They also have to become more innovative in identifying funding mechanisms to partner with the private sector on these projects without which these goals will be unsustainable and metros will fail to achieve their longer-term catalytic goals.</w:t>
      </w:r>
    </w:p>
    <w:p w:rsidR="00187586" w:rsidRDefault="00187586" w:rsidP="00665E99">
      <w:pPr>
        <w:pStyle w:val="Heading3"/>
        <w:numPr>
          <w:ilvl w:val="2"/>
          <w:numId w:val="27"/>
        </w:numPr>
      </w:pPr>
      <w:bookmarkStart w:id="14" w:name="_Toc455995469"/>
      <w:r>
        <w:t>Planned External Loans</w:t>
      </w:r>
      <w:bookmarkEnd w:id="14"/>
      <w:r>
        <w:t xml:space="preserve"> </w:t>
      </w:r>
    </w:p>
    <w:p w:rsidR="00FB2DFC" w:rsidRPr="00FB2DFC" w:rsidRDefault="00FB2DFC" w:rsidP="00FB2DFC">
      <w:r>
        <w:t xml:space="preserve">A closer evaluation of the budgeted external loans (borrowings) component of the capital budget reveals that metros plan to borrow a total of R9bn in the 2016/17 financial year as detailed below: </w:t>
      </w:r>
    </w:p>
    <w:p w:rsidR="00FB2DFC" w:rsidRPr="00FB2DFC" w:rsidRDefault="00FB2DFC" w:rsidP="00FB2DFC">
      <w:r>
        <w:rPr>
          <w:noProof/>
          <w:lang w:eastAsia="en-ZA"/>
        </w:rPr>
        <mc:AlternateContent>
          <mc:Choice Requires="wpg">
            <w:drawing>
              <wp:anchor distT="0" distB="0" distL="114300" distR="114300" simplePos="0" relativeHeight="251663360" behindDoc="0" locked="0" layoutInCell="1" allowOverlap="1" wp14:anchorId="719387E3" wp14:editId="43D1142A">
                <wp:simplePos x="0" y="0"/>
                <wp:positionH relativeFrom="margin">
                  <wp:align>left</wp:align>
                </wp:positionH>
                <wp:positionV relativeFrom="paragraph">
                  <wp:posOffset>136525</wp:posOffset>
                </wp:positionV>
                <wp:extent cx="5962015" cy="2338705"/>
                <wp:effectExtent l="0" t="0" r="635" b="0"/>
                <wp:wrapNone/>
                <wp:docPr id="77" name="Group 77"/>
                <wp:cNvGraphicFramePr/>
                <a:graphic xmlns:a="http://schemas.openxmlformats.org/drawingml/2006/main">
                  <a:graphicData uri="http://schemas.microsoft.com/office/word/2010/wordprocessingGroup">
                    <wpg:wgp>
                      <wpg:cNvGrpSpPr/>
                      <wpg:grpSpPr>
                        <a:xfrm>
                          <a:off x="0" y="0"/>
                          <a:ext cx="5962015" cy="2338705"/>
                          <a:chOff x="0" y="0"/>
                          <a:chExt cx="5962015" cy="2338705"/>
                        </a:xfrm>
                      </wpg:grpSpPr>
                      <wpg:graphicFrame>
                        <wpg:cNvPr id="75" name="Chart 75"/>
                        <wpg:cNvFrPr/>
                        <wpg:xfrm>
                          <a:off x="0" y="0"/>
                          <a:ext cx="3710305" cy="2286000"/>
                        </wpg:xfrm>
                        <a:graphic>
                          <a:graphicData uri="http://schemas.openxmlformats.org/drawingml/2006/chart">
                            <c:chart xmlns:c="http://schemas.openxmlformats.org/drawingml/2006/chart" xmlns:r="http://schemas.openxmlformats.org/officeDocument/2006/relationships" r:id="rId25"/>
                          </a:graphicData>
                        </a:graphic>
                      </wpg:graphicFrame>
                      <pic:pic xmlns:pic="http://schemas.openxmlformats.org/drawingml/2006/picture">
                        <pic:nvPicPr>
                          <pic:cNvPr id="76" name="Picture 76"/>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857625" y="0"/>
                            <a:ext cx="2104390" cy="2338705"/>
                          </a:xfrm>
                          <a:prstGeom prst="rect">
                            <a:avLst/>
                          </a:prstGeom>
                          <a:noFill/>
                        </pic:spPr>
                      </pic:pic>
                    </wpg:wgp>
                  </a:graphicData>
                </a:graphic>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group w14:anchorId="1D1A329A" id="Group 77" o:spid="_x0000_s1026" style="position:absolute;margin-left:0;margin-top:10.75pt;width:469.45pt;height:184.15pt;z-index:251663360;mso-position-horizontal:left;mso-position-horizontal-relative:margin" coordsize="59620,23387"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5" o:spid="_x0000_s1027" type="#_x0000_t75" style="position:absolute;left:-60;top:-60;width:37245;height:229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">
                  <v:imagedata r:id="rId27" o:title=""/>
                  <o:lock v:ext="edit" aspectratio="f"/>
                </v:shape>
                <v:shape id="Picture 76" o:spid="_x0000_s1028" type="#_x0000_t75" style="position:absolute;left:38576;width:21044;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">
                  <v:imagedata r:id="rId28" o:title=""/>
                  <v:path arrowok="t"/>
                </v:shape>
                <w10:wrap anchorx="margin"/>
              </v:group>
            </w:pict>
          </mc:Fallback>
        </mc:AlternateContent>
      </w:r>
    </w:p>
    <w:p w:rsidR="00FB2DFC" w:rsidRPr="00FB2DFC" w:rsidRDefault="00FB2DFC" w:rsidP="00FB2DFC"/>
    <w:p w:rsidR="00FB2DFC" w:rsidRPr="00FB2DFC" w:rsidRDefault="00FB2DFC" w:rsidP="00FB2DFC"/>
    <w:p w:rsidR="00FB2DFC" w:rsidRPr="00FB2DFC" w:rsidRDefault="00FB2DFC" w:rsidP="00FB2DFC"/>
    <w:p w:rsidR="00A83B6B" w:rsidRPr="00A83B6B" w:rsidRDefault="00A83B6B" w:rsidP="00A83B6B"/>
    <w:p w:rsidR="00A83B6B" w:rsidRPr="00A83B6B" w:rsidRDefault="00A83B6B" w:rsidP="00A83B6B"/>
    <w:p w:rsidR="00480260" w:rsidRDefault="00480260" w:rsidP="00480260">
      <w:pPr>
        <w:ind w:left="6480"/>
        <w:jc w:val="left"/>
      </w:pPr>
    </w:p>
    <w:p w:rsidR="00187586" w:rsidRDefault="00187586" w:rsidP="00480260">
      <w:pPr>
        <w:jc w:val="right"/>
      </w:pPr>
    </w:p>
    <w:p w:rsidR="00187586" w:rsidRDefault="00187586" w:rsidP="008B775B"/>
    <w:p w:rsidR="00187586" w:rsidRDefault="00187586" w:rsidP="008B775B"/>
    <w:p w:rsidR="00187586" w:rsidRDefault="00187586" w:rsidP="008B775B"/>
    <w:p w:rsidR="00FB2DFC" w:rsidRPr="00FB2DFC" w:rsidRDefault="00FB2DFC" w:rsidP="00FB2DFC">
      <w:r>
        <w:lastRenderedPageBreak/>
        <w:t xml:space="preserve">Since this forms almost 26% </w:t>
      </w:r>
      <w:r w:rsidRPr="00FB2DFC">
        <w:t xml:space="preserve">of </w:t>
      </w:r>
      <w:r>
        <w:t xml:space="preserve">the total </w:t>
      </w:r>
      <w:r w:rsidRPr="00FB2DFC">
        <w:t xml:space="preserve">Capital Funding </w:t>
      </w:r>
      <w:r>
        <w:t xml:space="preserve">requirements, the </w:t>
      </w:r>
      <w:r w:rsidRPr="00FB2DFC">
        <w:t>implementation of catalytic projects, will be severely constrained</w:t>
      </w:r>
      <w:r>
        <w:t xml:space="preserve"> should metros be unable to raise these loans. </w:t>
      </w:r>
    </w:p>
    <w:p w:rsidR="00FB2DFC" w:rsidRDefault="00FB2DFC" w:rsidP="00FB2DFC">
      <w:r>
        <w:rPr>
          <w:noProof/>
          <w:lang w:eastAsia="en-ZA"/>
        </w:rPr>
        <mc:AlternateContent>
          <mc:Choice Requires="wps">
            <w:drawing>
              <wp:anchor distT="0" distB="0" distL="114300" distR="114300" simplePos="0" relativeHeight="251665408" behindDoc="1" locked="0" layoutInCell="1" allowOverlap="1" wp14:anchorId="46FF5D1C" wp14:editId="4DA3CA72">
                <wp:simplePos x="0" y="0"/>
                <wp:positionH relativeFrom="margin">
                  <wp:posOffset>635</wp:posOffset>
                </wp:positionH>
                <wp:positionV relativeFrom="page">
                  <wp:posOffset>828675</wp:posOffset>
                </wp:positionV>
                <wp:extent cx="6000750" cy="1704975"/>
                <wp:effectExtent l="0" t="0" r="19050" b="28575"/>
                <wp:wrapTopAndBottom/>
                <wp:docPr id="78" name="Rounded Rectangle 78"/>
                <wp:cNvGraphicFramePr/>
                <a:graphic xmlns:a="http://schemas.openxmlformats.org/drawingml/2006/main">
                  <a:graphicData uri="http://schemas.microsoft.com/office/word/2010/wordprocessingShape">
                    <wps:wsp>
                      <wps:cNvSpPr/>
                      <wps:spPr>
                        <a:xfrm>
                          <a:off x="0" y="0"/>
                          <a:ext cx="6000750" cy="170497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Default="000A716A" w:rsidP="00FB2DFC">
                            <w:pPr>
                              <w:rPr>
                                <w:color w:val="000000" w:themeColor="text1"/>
                              </w:rPr>
                            </w:pPr>
                            <w:r>
                              <w:rPr>
                                <w:color w:val="000000" w:themeColor="text1"/>
                              </w:rPr>
                              <w:t>RECOMMENDATIONS</w:t>
                            </w:r>
                            <w:r w:rsidR="00227464">
                              <w:rPr>
                                <w:color w:val="000000" w:themeColor="text1"/>
                              </w:rPr>
                              <w:t xml:space="preserve"> – CAPITAL FUNDING</w:t>
                            </w:r>
                          </w:p>
                          <w:p w:rsidR="000A716A" w:rsidRPr="00A3235A" w:rsidRDefault="000A716A" w:rsidP="00665E99">
                            <w:pPr>
                              <w:pStyle w:val="ListParagraph"/>
                              <w:numPr>
                                <w:ilvl w:val="0"/>
                                <w:numId w:val="30"/>
                              </w:numPr>
                              <w:rPr>
                                <w:color w:val="000000" w:themeColor="text1"/>
                              </w:rPr>
                            </w:pPr>
                            <w:r w:rsidRPr="00A3235A">
                              <w:rPr>
                                <w:color w:val="000000" w:themeColor="text1"/>
                              </w:rPr>
                              <w:t>It is therefore crucial that Metros follow a refined, robust Capital Funding process which:</w:t>
                            </w:r>
                          </w:p>
                          <w:p w:rsidR="000A716A" w:rsidRPr="00B5503D" w:rsidRDefault="000A716A" w:rsidP="00665E99">
                            <w:pPr>
                              <w:pStyle w:val="ListParagraph"/>
                              <w:numPr>
                                <w:ilvl w:val="0"/>
                                <w:numId w:val="28"/>
                              </w:numPr>
                              <w:rPr>
                                <w:color w:val="000000" w:themeColor="text1"/>
                              </w:rPr>
                            </w:pPr>
                            <w:r w:rsidRPr="00B5503D">
                              <w:rPr>
                                <w:color w:val="000000" w:themeColor="text1"/>
                              </w:rPr>
                              <w:t xml:space="preserve">provides sufficient inputs for investment decision-making; and </w:t>
                            </w:r>
                          </w:p>
                          <w:p w:rsidR="000A716A" w:rsidRDefault="000A716A" w:rsidP="00665E99">
                            <w:pPr>
                              <w:pStyle w:val="ListParagraph"/>
                              <w:numPr>
                                <w:ilvl w:val="0"/>
                                <w:numId w:val="28"/>
                              </w:numPr>
                              <w:rPr>
                                <w:color w:val="000000" w:themeColor="text1"/>
                              </w:rPr>
                            </w:pPr>
                            <w:r w:rsidRPr="00A3235A">
                              <w:rPr>
                                <w:color w:val="000000" w:themeColor="text1"/>
                              </w:rPr>
                              <w:t>guides the allocation of limited funds to unlimited demands</w:t>
                            </w:r>
                          </w:p>
                          <w:p w:rsidR="000A716A" w:rsidRPr="00A3235A" w:rsidRDefault="000A716A" w:rsidP="00A3235A">
                            <w:pPr>
                              <w:rPr>
                                <w:color w:val="000000" w:themeColor="text1"/>
                              </w:rPr>
                            </w:pPr>
                            <w:r w:rsidRPr="00A3235A">
                              <w:rPr>
                                <w:color w:val="000000" w:themeColor="text1"/>
                              </w:rPr>
                              <w:t>BEPPs must therefore contain sufficient information in respect of the degree of financial closure in respect of these external loan applications</w:t>
                            </w:r>
                          </w:p>
                          <w:p w:rsidR="000A716A" w:rsidRPr="00034E30" w:rsidRDefault="000A716A" w:rsidP="00FB2DFC">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46FF5D1C" id="Rounded Rectangle 78" o:spid="_x0000_s1026" style="position:absolute;left:0;text-align:left;margin-left:.05pt;margin-top:65.25pt;width:472.5pt;height:134.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" fillcolor="#fabf8f [1945]" strokecolor="#974706 [1609]" strokeweight="2pt">
                <v:textbox>
                  <w:txbxContent>
                    <w:p w:rsidR="000A716A" w:rsidRDefault="000A716A" w:rsidP="00FB2DFC">
                      <w:pPr>
                        <w:rPr>
                          <w:color w:val="000000" w:themeColor="text1"/>
                        </w:rPr>
                      </w:pPr>
                      <w:r>
                        <w:rPr>
                          <w:color w:val="000000" w:themeColor="text1"/>
                        </w:rPr>
                        <w:t>RECOMMENDATIONS</w:t>
                      </w:r>
                      <w:r w:rsidR="00227464">
                        <w:rPr>
                          <w:color w:val="000000" w:themeColor="text1"/>
                        </w:rPr>
                        <w:t xml:space="preserve"> – CAPITAL FUNDING</w:t>
                      </w:r>
                    </w:p>
                    <w:p w:rsidR="000A716A" w:rsidRPr="00A3235A" w:rsidRDefault="000A716A" w:rsidP="00665E99">
                      <w:pPr>
                        <w:pStyle w:val="ListParagraph"/>
                        <w:numPr>
                          <w:ilvl w:val="0"/>
                          <w:numId w:val="30"/>
                        </w:numPr>
                        <w:rPr>
                          <w:color w:val="000000" w:themeColor="text1"/>
                        </w:rPr>
                      </w:pPr>
                      <w:r w:rsidRPr="00A3235A">
                        <w:rPr>
                          <w:color w:val="000000" w:themeColor="text1"/>
                        </w:rPr>
                        <w:t>It is therefore crucial that Metros follow a refined, robust Capital Funding process which:</w:t>
                      </w:r>
                    </w:p>
                    <w:p w:rsidR="000A716A" w:rsidRPr="00B5503D" w:rsidRDefault="000A716A" w:rsidP="00665E99">
                      <w:pPr>
                        <w:pStyle w:val="ListParagraph"/>
                        <w:numPr>
                          <w:ilvl w:val="0"/>
                          <w:numId w:val="28"/>
                        </w:numPr>
                        <w:rPr>
                          <w:color w:val="000000" w:themeColor="text1"/>
                        </w:rPr>
                      </w:pPr>
                      <w:r w:rsidRPr="00B5503D">
                        <w:rPr>
                          <w:color w:val="000000" w:themeColor="text1"/>
                        </w:rPr>
                        <w:t xml:space="preserve">provides sufficient inputs for investment decision-making; and </w:t>
                      </w:r>
                    </w:p>
                    <w:p w:rsidR="000A716A" w:rsidRDefault="000A716A" w:rsidP="00665E99">
                      <w:pPr>
                        <w:pStyle w:val="ListParagraph"/>
                        <w:numPr>
                          <w:ilvl w:val="0"/>
                          <w:numId w:val="28"/>
                        </w:numPr>
                        <w:rPr>
                          <w:color w:val="000000" w:themeColor="text1"/>
                        </w:rPr>
                      </w:pPr>
                      <w:r w:rsidRPr="00A3235A">
                        <w:rPr>
                          <w:color w:val="000000" w:themeColor="text1"/>
                        </w:rPr>
                        <w:t>guides the allocation of limited funds to unlimited demands</w:t>
                      </w:r>
                    </w:p>
                    <w:p w:rsidR="000A716A" w:rsidRPr="00A3235A" w:rsidRDefault="000A716A" w:rsidP="00A3235A">
                      <w:pPr>
                        <w:rPr>
                          <w:color w:val="000000" w:themeColor="text1"/>
                        </w:rPr>
                      </w:pPr>
                      <w:r w:rsidRPr="00A3235A">
                        <w:rPr>
                          <w:color w:val="000000" w:themeColor="text1"/>
                        </w:rPr>
                        <w:t>BEPPs must therefore contain sufficient information in respect of the degree of financial closure in respect of these external loan applications</w:t>
                      </w:r>
                    </w:p>
                    <w:p w:rsidR="000A716A" w:rsidRPr="00034E30" w:rsidRDefault="000A716A" w:rsidP="00FB2DFC">
                      <w:pPr>
                        <w:jc w:val="center"/>
                        <w:rPr>
                          <w:b/>
                          <w:color w:val="000000" w:themeColor="text1"/>
                        </w:rPr>
                      </w:pPr>
                    </w:p>
                  </w:txbxContent>
                </v:textbox>
                <w10:wrap type="topAndBottom" anchorx="margin" anchory="page"/>
              </v:roundrect>
            </w:pict>
          </mc:Fallback>
        </mc:AlternateContent>
      </w:r>
    </w:p>
    <w:p w:rsidR="008B775B" w:rsidRDefault="008B775B" w:rsidP="00665E99">
      <w:pPr>
        <w:pStyle w:val="Heading3"/>
        <w:numPr>
          <w:ilvl w:val="1"/>
          <w:numId w:val="27"/>
        </w:numPr>
      </w:pPr>
      <w:bookmarkStart w:id="15" w:name="_Toc455995470"/>
      <w:r>
        <w:t>Financial Status and Borrowing Capacity of Metropolitans</w:t>
      </w:r>
      <w:bookmarkEnd w:id="15"/>
    </w:p>
    <w:bookmarkStart w:id="16" w:name="_Toc455995471"/>
    <w:p w:rsidR="008B775B" w:rsidRDefault="000845A4" w:rsidP="00665E99">
      <w:pPr>
        <w:pStyle w:val="Heading3"/>
        <w:numPr>
          <w:ilvl w:val="2"/>
          <w:numId w:val="27"/>
        </w:numPr>
      </w:pPr>
      <w:r>
        <w:rPr>
          <w:noProof/>
          <w:lang w:eastAsia="en-ZA"/>
        </w:rPr>
        <mc:AlternateContent>
          <mc:Choice Requires="wps">
            <w:drawing>
              <wp:anchor distT="0" distB="0" distL="114300" distR="114300" simplePos="0" relativeHeight="251658240" behindDoc="0" locked="0" layoutInCell="1" allowOverlap="1" wp14:anchorId="1F9A5800" wp14:editId="7F2EB0A4">
                <wp:simplePos x="0" y="0"/>
                <wp:positionH relativeFrom="margin">
                  <wp:posOffset>635</wp:posOffset>
                </wp:positionH>
                <wp:positionV relativeFrom="page">
                  <wp:posOffset>4010025</wp:posOffset>
                </wp:positionV>
                <wp:extent cx="5876925" cy="819150"/>
                <wp:effectExtent l="0" t="0" r="28575" b="19050"/>
                <wp:wrapSquare wrapText="bothSides"/>
                <wp:docPr id="69" name="Rounded Rectangle 69"/>
                <wp:cNvGraphicFramePr/>
                <a:graphic xmlns:a="http://schemas.openxmlformats.org/drawingml/2006/main">
                  <a:graphicData uri="http://schemas.microsoft.com/office/word/2010/wordprocessingShape">
                    <wps:wsp>
                      <wps:cNvSpPr/>
                      <wps:spPr>
                        <a:xfrm>
                          <a:off x="0" y="0"/>
                          <a:ext cx="5876925" cy="81915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Default="000A716A" w:rsidP="00721AC3">
                            <w:pPr>
                              <w:jc w:val="left"/>
                              <w:rPr>
                                <w:b/>
                                <w:color w:val="000000" w:themeColor="text1"/>
                              </w:rPr>
                            </w:pPr>
                            <w:r w:rsidRPr="00034E30">
                              <w:rPr>
                                <w:b/>
                                <w:color w:val="000000" w:themeColor="text1"/>
                              </w:rPr>
                              <w:t>The Preamble which follows is an extract from the 2015/16 BEPP Evaluation Report and is included here for ease of reference</w:t>
                            </w:r>
                            <w:r>
                              <w:rPr>
                                <w:b/>
                                <w:color w:val="000000" w:themeColor="text1"/>
                              </w:rPr>
                              <w:t xml:space="preserve">. </w:t>
                            </w:r>
                          </w:p>
                          <w:p w:rsidR="000A716A" w:rsidRPr="00034E30" w:rsidRDefault="000A716A" w:rsidP="00721AC3">
                            <w:pPr>
                              <w:jc w:val="left"/>
                              <w:rPr>
                                <w:b/>
                                <w:color w:val="000000" w:themeColor="text1"/>
                              </w:rPr>
                            </w:pPr>
                            <w:r>
                              <w:rPr>
                                <w:b/>
                                <w:color w:val="000000" w:themeColor="text1"/>
                              </w:rPr>
                              <w:t>This is followed by details related to the 2016/17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1F9A5800" id="Rounded Rectangle 69" o:spid="_x0000_s1027" style="position:absolute;left:0;text-align:left;margin-left:.05pt;margin-top:315.75pt;width:462.75pt;height:64.5pt;z-index:2516582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" fillcolor="#d8d8d8 [2732]" strokecolor="#7f7f7f [1612]" strokeweight="2pt">
                <v:textbox>
                  <w:txbxContent>
                    <w:p w:rsidR="000A716A" w:rsidRDefault="000A716A" w:rsidP="00721AC3">
                      <w:pPr>
                        <w:jc w:val="left"/>
                        <w:rPr>
                          <w:b/>
                          <w:color w:val="000000" w:themeColor="text1"/>
                        </w:rPr>
                      </w:pPr>
                      <w:r w:rsidRPr="00034E30">
                        <w:rPr>
                          <w:b/>
                          <w:color w:val="000000" w:themeColor="text1"/>
                        </w:rPr>
                        <w:t>The Preamble which follows is an extract from the 2015/16 BEPP Evaluation Report and is included here for ease of reference</w:t>
                      </w:r>
                      <w:r>
                        <w:rPr>
                          <w:b/>
                          <w:color w:val="000000" w:themeColor="text1"/>
                        </w:rPr>
                        <w:t xml:space="preserve">. </w:t>
                      </w:r>
                    </w:p>
                    <w:p w:rsidR="000A716A" w:rsidRPr="00034E30" w:rsidRDefault="000A716A" w:rsidP="00721AC3">
                      <w:pPr>
                        <w:jc w:val="left"/>
                        <w:rPr>
                          <w:b/>
                          <w:color w:val="000000" w:themeColor="text1"/>
                        </w:rPr>
                      </w:pPr>
                      <w:r>
                        <w:rPr>
                          <w:b/>
                          <w:color w:val="000000" w:themeColor="text1"/>
                        </w:rPr>
                        <w:t>This is followed by details related to the 2016/17 evaluation.</w:t>
                      </w:r>
                    </w:p>
                  </w:txbxContent>
                </v:textbox>
                <w10:wrap type="square" anchorx="margin" anchory="page"/>
              </v:roundrect>
            </w:pict>
          </mc:Fallback>
        </mc:AlternateContent>
      </w:r>
      <w:r w:rsidR="008B775B">
        <w:t>Credit Ratings</w:t>
      </w:r>
      <w:bookmarkEnd w:id="16"/>
    </w:p>
    <w:p w:rsidR="00034E30" w:rsidRPr="00034E30" w:rsidRDefault="00034E30" w:rsidP="00034E30"/>
    <w:p w:rsidR="008B775B" w:rsidRDefault="008B775B" w:rsidP="008B775B">
      <w:r>
        <w:t>Moody's Investors Service, often referred to as Moody's, is the bond credit rating business of Moody's Corporation, representing the company's traditional line of business and its historical name. Moody's Investors Service provides international financial research on bonds issued by commercial and government entities and, with Standard &amp; Poor's and Fitch Group, is considered one of the Big Three credit rating agencies.</w:t>
      </w:r>
    </w:p>
    <w:p w:rsidR="008B775B" w:rsidRDefault="008B775B" w:rsidP="008B775B"/>
    <w:p w:rsidR="008B775B" w:rsidRDefault="008B775B" w:rsidP="008B775B">
      <w:r>
        <w:t>The company ranks the creditworthiness of borrowers using a standardised ratings scale which measures expected investor loss in the event of default. Moody's Investors Service rates debt securities in several market segments related to public and commercial securities in the bond market. These include government, municipal and corporate bonds; managed investments such as money market funds, fixed-income funds and hedge funds; financial institutions including banks and non-bank finance companies; and asset classes in structured finance. In Moody's Investors Service's ratings system securities are assigned a rating from Aaa to C, with Aaa being the highest quality and C the lowest quality.</w:t>
      </w:r>
    </w:p>
    <w:p w:rsidR="008B775B" w:rsidRDefault="008B775B" w:rsidP="008B775B"/>
    <w:p w:rsidR="008B775B" w:rsidRDefault="008B775B" w:rsidP="008B775B">
      <w:r>
        <w:t xml:space="preserve">Moody’s has recently downgraded South Africa’s </w:t>
      </w:r>
      <w:r w:rsidRPr="00B96F76">
        <w:t>debt rating to Baa2 from Baa1</w:t>
      </w:r>
      <w:r>
        <w:t xml:space="preserve">. The key drivers of the rating downgrade are the following: </w:t>
      </w:r>
    </w:p>
    <w:p w:rsidR="008B775B" w:rsidRDefault="008B775B" w:rsidP="00665E99">
      <w:pPr>
        <w:pStyle w:val="ListParagraph"/>
        <w:numPr>
          <w:ilvl w:val="0"/>
          <w:numId w:val="14"/>
        </w:numPr>
      </w:pPr>
      <w:r>
        <w:t xml:space="preserve">Poor medium-term growth prospects due to structural weaknesses, including ongoing energy shortages as well as rising interest rates, further deterioration in the investor climate and a less supportive capital market environment for countries such as South Africa that are highly dependent on external capital. </w:t>
      </w:r>
    </w:p>
    <w:p w:rsidR="008B775B" w:rsidRDefault="008B775B" w:rsidP="00665E99">
      <w:pPr>
        <w:pStyle w:val="ListParagraph"/>
        <w:numPr>
          <w:ilvl w:val="0"/>
          <w:numId w:val="14"/>
        </w:numPr>
      </w:pPr>
      <w:r>
        <w:t xml:space="preserve">The prospect of further rises in the government debt-to-GDP ratio implied by the low-growth environment, which even strict compliance with the government spending ceiling and somewhat smaller fiscal deficits are unlikely to arrest in the near term. </w:t>
      </w:r>
    </w:p>
    <w:p w:rsidR="008B775B" w:rsidRDefault="008B775B" w:rsidP="008B775B"/>
    <w:p w:rsidR="008B775B" w:rsidRDefault="008B775B" w:rsidP="008B775B">
      <w:r>
        <w:t xml:space="preserve">The assignment of a stable outlook reflects policymakers' commitment to reining in government debt growth over the medium term and the broad political support for a macroeconomic strategy, including the National Development Plan (NDP), tighter monetary policy and fiscal restraint, which should help stabilize the debt burden over the medium term. </w:t>
      </w:r>
    </w:p>
    <w:p w:rsidR="008B775B" w:rsidRDefault="008B775B" w:rsidP="008B775B"/>
    <w:p w:rsidR="008B775B" w:rsidRPr="004061A7" w:rsidRDefault="008B775B" w:rsidP="008B775B">
      <w:r>
        <w:t>The following key points should be noted from Moody’s recent evaluation of South African metros:</w:t>
      </w:r>
    </w:p>
    <w:p w:rsidR="008B775B" w:rsidRPr="00C446AD" w:rsidRDefault="008B775B" w:rsidP="00665E99">
      <w:pPr>
        <w:pStyle w:val="ListParagraph"/>
        <w:numPr>
          <w:ilvl w:val="0"/>
          <w:numId w:val="14"/>
        </w:numPr>
      </w:pPr>
      <w:r w:rsidRPr="00C446AD">
        <w:t xml:space="preserve">Moody’s </w:t>
      </w:r>
      <w:r>
        <w:t xml:space="preserve">has </w:t>
      </w:r>
      <w:r w:rsidRPr="00C446AD">
        <w:t>downgraded all metropolitan cities’ long-term ratings by one notch, with the exception of Nelson Mandela Bay to reflect the deterioration of South Africa’s credit profile</w:t>
      </w:r>
      <w:r>
        <w:t>;</w:t>
      </w:r>
    </w:p>
    <w:p w:rsidR="008B775B" w:rsidRPr="00C446AD" w:rsidRDefault="008B775B" w:rsidP="00665E99">
      <w:pPr>
        <w:pStyle w:val="ListParagraph"/>
        <w:numPr>
          <w:ilvl w:val="0"/>
          <w:numId w:val="14"/>
        </w:numPr>
      </w:pPr>
      <w:r w:rsidRPr="00C446AD">
        <w:t>The centralised nature of the local public sector results in close operational and financial linkages between the national government and municipalities</w:t>
      </w:r>
      <w:r>
        <w:t>;</w:t>
      </w:r>
    </w:p>
    <w:p w:rsidR="008B775B" w:rsidRPr="00C446AD" w:rsidRDefault="008B775B" w:rsidP="00665E99">
      <w:pPr>
        <w:pStyle w:val="ListParagraph"/>
        <w:numPr>
          <w:ilvl w:val="0"/>
          <w:numId w:val="14"/>
        </w:numPr>
      </w:pPr>
      <w:r w:rsidRPr="00C446AD">
        <w:t>Large cities are exposed to the country’s macroeconomic performance and socio-economic conditions to varying degrees</w:t>
      </w:r>
      <w:r>
        <w:t>;</w:t>
      </w:r>
    </w:p>
    <w:p w:rsidR="008B775B" w:rsidRPr="00C446AD" w:rsidRDefault="008B775B" w:rsidP="00665E99">
      <w:pPr>
        <w:pStyle w:val="ListParagraph"/>
        <w:numPr>
          <w:ilvl w:val="0"/>
          <w:numId w:val="14"/>
        </w:numPr>
      </w:pPr>
      <w:r w:rsidRPr="00C446AD">
        <w:t>While metropolitan cities rated by Moody’s display comparatively rich economic bases, sound financials and good governance practices, they remain dependent on decisions of the central government, which maintains a high degree of control o</w:t>
      </w:r>
      <w:r>
        <w:t>ver the sector via legislation;</w:t>
      </w:r>
    </w:p>
    <w:p w:rsidR="008B775B" w:rsidRPr="00C446AD" w:rsidRDefault="008B775B" w:rsidP="00665E99">
      <w:pPr>
        <w:pStyle w:val="ListParagraph"/>
        <w:numPr>
          <w:ilvl w:val="0"/>
          <w:numId w:val="14"/>
        </w:numPr>
      </w:pPr>
      <w:r w:rsidRPr="00C446AD">
        <w:t>Furthermore, the cities’ budgetary structures and relative sizes heavily exposes them to the country’s macroeconomic performance</w:t>
      </w:r>
      <w:r>
        <w:t xml:space="preserve"> and socio-economic conditions;</w:t>
      </w:r>
    </w:p>
    <w:p w:rsidR="008B775B" w:rsidRPr="00C446AD" w:rsidRDefault="008B775B" w:rsidP="00665E99">
      <w:pPr>
        <w:pStyle w:val="ListParagraph"/>
        <w:numPr>
          <w:ilvl w:val="0"/>
          <w:numId w:val="14"/>
        </w:numPr>
      </w:pPr>
      <w:r w:rsidRPr="00C446AD">
        <w:t>In addition, they feature moderate-to-high debt levels, which adds rigidity to their budgets</w:t>
      </w:r>
      <w:r>
        <w:t xml:space="preserve"> and</w:t>
      </w:r>
    </w:p>
    <w:p w:rsidR="008B775B" w:rsidRPr="00C446AD" w:rsidRDefault="008B775B" w:rsidP="00665E99">
      <w:pPr>
        <w:pStyle w:val="ListParagraph"/>
        <w:numPr>
          <w:ilvl w:val="0"/>
          <w:numId w:val="14"/>
        </w:numPr>
      </w:pPr>
      <w:r w:rsidRPr="00C446AD">
        <w:t>Moody’s expects that weaker-than-anticipated economic growth prospects in the medium term will put pressure on the cities’ overall financial performances</w:t>
      </w:r>
      <w:r>
        <w:t>.</w:t>
      </w:r>
    </w:p>
    <w:p w:rsidR="008B775B" w:rsidRDefault="008B775B" w:rsidP="008B775B"/>
    <w:p w:rsidR="008B775B" w:rsidRDefault="008B775B" w:rsidP="008B775B">
      <w:r>
        <w:lastRenderedPageBreak/>
        <w:t>As metros compile their BEPPs, they should specifically note that t</w:t>
      </w:r>
      <w:r w:rsidRPr="00B96F76">
        <w:t xml:space="preserve">he successful implementation of planned structural reforms to enhance potential growth and reduce exposure to external shocks, combined </w:t>
      </w:r>
      <w:r>
        <w:t xml:space="preserve">with continued fiscal prudence, </w:t>
      </w:r>
      <w:r w:rsidRPr="00B96F76">
        <w:t>and could exert upward pressure on the rating. Reforms resulting in higher domestic savings and investment rates and sustainable, stronger growth, alongside continued restraint in public debt accumulation and the ongoing implementation of the macro- and micro-level reforms embedded in the NDP, could also provide positive momentum to the rating.</w:t>
      </w:r>
      <w:r>
        <w:t xml:space="preserve"> Thus metros play a crucial role, through their BEPPs, in the attractiveness of external investors to South Africa.</w:t>
      </w:r>
    </w:p>
    <w:p w:rsidR="00721AC3" w:rsidRDefault="00721AC3" w:rsidP="00665E99">
      <w:pPr>
        <w:pStyle w:val="Heading3"/>
        <w:numPr>
          <w:ilvl w:val="3"/>
          <w:numId w:val="27"/>
        </w:numPr>
        <w:ind w:left="1276" w:hanging="1276"/>
      </w:pPr>
      <w:bookmarkStart w:id="17" w:name="_Toc455995472"/>
      <w:r>
        <w:t xml:space="preserve">Evaluation of </w:t>
      </w:r>
      <w:r w:rsidR="00A3235A">
        <w:t xml:space="preserve">2016/17 </w:t>
      </w:r>
      <w:r>
        <w:t>Credit Rating</w:t>
      </w:r>
      <w:bookmarkEnd w:id="17"/>
    </w:p>
    <w:p w:rsidR="009B7FFE" w:rsidRPr="009B7FFE" w:rsidRDefault="009B7FFE" w:rsidP="009B7FFE">
      <w:r>
        <w:t>As discussed above, the purpose of the credit rating is to provide investors with a simple system of gradation by which future relative creditworthiness of securities may be gauged. The evaluation of the credit ratings extracted from Schedule SA8, 2016/17 MTREF of each metro is summarised below.</w:t>
      </w:r>
    </w:p>
    <w:p w:rsidR="00721AC3" w:rsidRPr="00721AC3" w:rsidRDefault="009B7FFE" w:rsidP="009B7FFE">
      <w:r>
        <w:rPr>
          <w:noProof/>
          <w:lang w:eastAsia="en-ZA"/>
        </w:rPr>
        <w:drawing>
          <wp:inline distT="0" distB="0" distL="0" distR="0" wp14:anchorId="3D3B9012" wp14:editId="3112CC32">
            <wp:extent cx="5904230" cy="1692910"/>
            <wp:effectExtent l="19050" t="19050" r="20320" b="215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04230" cy="1692910"/>
                    </a:xfrm>
                    <a:prstGeom prst="rect">
                      <a:avLst/>
                    </a:prstGeom>
                    <a:ln>
                      <a:solidFill>
                        <a:schemeClr val="accent6">
                          <a:lumMod val="75000"/>
                        </a:schemeClr>
                      </a:solidFill>
                    </a:ln>
                  </pic:spPr>
                </pic:pic>
              </a:graphicData>
            </a:graphic>
          </wp:inline>
        </w:drawing>
      </w:r>
    </w:p>
    <w:p w:rsidR="00A3235A" w:rsidRDefault="00A3235A" w:rsidP="008B775B"/>
    <w:p w:rsidR="000845A4" w:rsidRDefault="00843E42" w:rsidP="008B775B">
      <w:r>
        <w:rPr>
          <w:noProof/>
          <w:lang w:eastAsia="en-ZA"/>
        </w:rPr>
        <w:lastRenderedPageBreak/>
        <mc:AlternateContent>
          <mc:Choice Requires="wps">
            <w:drawing>
              <wp:anchor distT="0" distB="0" distL="114300" distR="114300" simplePos="0" relativeHeight="251667456" behindDoc="1" locked="0" layoutInCell="1" allowOverlap="1" wp14:anchorId="393062D8" wp14:editId="104CD9A7">
                <wp:simplePos x="0" y="0"/>
                <wp:positionH relativeFrom="margin">
                  <wp:posOffset>-104140</wp:posOffset>
                </wp:positionH>
                <wp:positionV relativeFrom="page">
                  <wp:posOffset>6124575</wp:posOffset>
                </wp:positionV>
                <wp:extent cx="6000750" cy="2752725"/>
                <wp:effectExtent l="0" t="0" r="19050" b="28575"/>
                <wp:wrapTopAndBottom/>
                <wp:docPr id="97" name="Rounded Rectangle 97"/>
                <wp:cNvGraphicFramePr/>
                <a:graphic xmlns:a="http://schemas.openxmlformats.org/drawingml/2006/main">
                  <a:graphicData uri="http://schemas.microsoft.com/office/word/2010/wordprocessingShape">
                    <wps:wsp>
                      <wps:cNvSpPr/>
                      <wps:spPr>
                        <a:xfrm>
                          <a:off x="0" y="0"/>
                          <a:ext cx="6000750" cy="275272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Default="000A716A" w:rsidP="00843E42">
                            <w:pPr>
                              <w:rPr>
                                <w:color w:val="000000" w:themeColor="text1"/>
                              </w:rPr>
                            </w:pPr>
                            <w:r>
                              <w:rPr>
                                <w:color w:val="000000" w:themeColor="text1"/>
                              </w:rPr>
                              <w:t>RECOMMENDATIONS</w:t>
                            </w:r>
                            <w:r w:rsidR="00227464">
                              <w:rPr>
                                <w:color w:val="000000" w:themeColor="text1"/>
                              </w:rPr>
                              <w:t xml:space="preserve"> – CREDIT RATINGS</w:t>
                            </w:r>
                            <w:r>
                              <w:rPr>
                                <w:color w:val="000000" w:themeColor="text1"/>
                              </w:rPr>
                              <w:t>:</w:t>
                            </w:r>
                          </w:p>
                          <w:p w:rsidR="000A716A" w:rsidRDefault="000A716A" w:rsidP="00665E99">
                            <w:pPr>
                              <w:pStyle w:val="ListParagraph"/>
                              <w:numPr>
                                <w:ilvl w:val="0"/>
                                <w:numId w:val="29"/>
                              </w:numPr>
                              <w:jc w:val="left"/>
                              <w:rPr>
                                <w:color w:val="000000" w:themeColor="text1"/>
                              </w:rPr>
                            </w:pPr>
                            <w:r w:rsidRPr="00A3235A">
                              <w:rPr>
                                <w:color w:val="000000" w:themeColor="text1"/>
                              </w:rPr>
                              <w:t>The name of the agency responsible for the credit rating must be disclosed in relevant documentation to facilitate verification of the rating.</w:t>
                            </w:r>
                          </w:p>
                          <w:p w:rsidR="000A716A" w:rsidRDefault="000A716A" w:rsidP="00665E99">
                            <w:pPr>
                              <w:pStyle w:val="ListParagraph"/>
                              <w:numPr>
                                <w:ilvl w:val="0"/>
                                <w:numId w:val="29"/>
                              </w:numPr>
                              <w:jc w:val="left"/>
                              <w:rPr>
                                <w:color w:val="000000" w:themeColor="text1"/>
                              </w:rPr>
                            </w:pPr>
                            <w:r w:rsidRPr="00A3235A">
                              <w:rPr>
                                <w:color w:val="000000" w:themeColor="text1"/>
                              </w:rPr>
                              <w:t>The discrepancy between the credit ratings disclosed in SA8 and Moody’s must be resolved. This discrepancy generates uncertainty in the minds of potential investors</w:t>
                            </w:r>
                            <w:r>
                              <w:rPr>
                                <w:color w:val="000000" w:themeColor="text1"/>
                              </w:rPr>
                              <w:t>.</w:t>
                            </w:r>
                          </w:p>
                          <w:p w:rsidR="000A716A" w:rsidRDefault="000A716A" w:rsidP="00665E99">
                            <w:pPr>
                              <w:pStyle w:val="ListParagraph"/>
                              <w:numPr>
                                <w:ilvl w:val="0"/>
                                <w:numId w:val="29"/>
                              </w:numPr>
                              <w:jc w:val="left"/>
                              <w:rPr>
                                <w:color w:val="000000" w:themeColor="text1"/>
                              </w:rPr>
                            </w:pPr>
                            <w:r w:rsidRPr="00A3235A">
                              <w:rPr>
                                <w:color w:val="000000" w:themeColor="text1"/>
                              </w:rPr>
                              <w:t>Schedule SA8, which includes the credit ratings, should be incorporated into the BEPP for ease of reference</w:t>
                            </w:r>
                            <w:r>
                              <w:rPr>
                                <w:color w:val="000000" w:themeColor="text1"/>
                              </w:rPr>
                              <w:t>.</w:t>
                            </w:r>
                          </w:p>
                          <w:p w:rsidR="000A716A" w:rsidRPr="00A3235A" w:rsidRDefault="000A716A" w:rsidP="00665E99">
                            <w:pPr>
                              <w:pStyle w:val="ListParagraph"/>
                              <w:numPr>
                                <w:ilvl w:val="0"/>
                                <w:numId w:val="29"/>
                              </w:numPr>
                              <w:jc w:val="left"/>
                              <w:rPr>
                                <w:color w:val="000000" w:themeColor="text1"/>
                              </w:rPr>
                            </w:pPr>
                            <w:r w:rsidRPr="00A3235A">
                              <w:rPr>
                                <w:color w:val="000000" w:themeColor="text1"/>
                              </w:rPr>
                              <w:t>Long-term financial strategies must be developed with the objective of improving current credit ratings which will make investment in catalytic capital infrastructure programmes and projects attractive to investors.</w:t>
                            </w:r>
                          </w:p>
                          <w:p w:rsidR="000A716A" w:rsidRPr="00034E30" w:rsidRDefault="000A716A" w:rsidP="00843E42">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393062D8" id="Rounded Rectangle 97" o:spid="_x0000_s1028" style="position:absolute;left:0;text-align:left;margin-left:-8.2pt;margin-top:482.25pt;width:472.5pt;height:216.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" fillcolor="#fabf8f [1945]" strokecolor="#974706 [1609]" strokeweight="2pt">
                <v:textbox>
                  <w:txbxContent>
                    <w:p w:rsidR="000A716A" w:rsidRDefault="000A716A" w:rsidP="00843E42">
                      <w:pPr>
                        <w:rPr>
                          <w:color w:val="000000" w:themeColor="text1"/>
                        </w:rPr>
                      </w:pPr>
                      <w:r>
                        <w:rPr>
                          <w:color w:val="000000" w:themeColor="text1"/>
                        </w:rPr>
                        <w:t>RECOMMENDATIONS</w:t>
                      </w:r>
                      <w:r w:rsidR="00227464">
                        <w:rPr>
                          <w:color w:val="000000" w:themeColor="text1"/>
                        </w:rPr>
                        <w:t xml:space="preserve"> – CREDIT RATINGS</w:t>
                      </w:r>
                      <w:r>
                        <w:rPr>
                          <w:color w:val="000000" w:themeColor="text1"/>
                        </w:rPr>
                        <w:t>:</w:t>
                      </w:r>
                    </w:p>
                    <w:p w:rsidR="000A716A" w:rsidRDefault="000A716A" w:rsidP="00665E99">
                      <w:pPr>
                        <w:pStyle w:val="ListParagraph"/>
                        <w:numPr>
                          <w:ilvl w:val="0"/>
                          <w:numId w:val="29"/>
                        </w:numPr>
                        <w:jc w:val="left"/>
                        <w:rPr>
                          <w:color w:val="000000" w:themeColor="text1"/>
                        </w:rPr>
                      </w:pPr>
                      <w:r w:rsidRPr="00A3235A">
                        <w:rPr>
                          <w:color w:val="000000" w:themeColor="text1"/>
                        </w:rPr>
                        <w:t>The name of the agency responsible for the credit rating must be disclosed in relevant documentation to facilitate verification of the rating.</w:t>
                      </w:r>
                    </w:p>
                    <w:p w:rsidR="000A716A" w:rsidRDefault="000A716A" w:rsidP="00665E99">
                      <w:pPr>
                        <w:pStyle w:val="ListParagraph"/>
                        <w:numPr>
                          <w:ilvl w:val="0"/>
                          <w:numId w:val="29"/>
                        </w:numPr>
                        <w:jc w:val="left"/>
                        <w:rPr>
                          <w:color w:val="000000" w:themeColor="text1"/>
                        </w:rPr>
                      </w:pPr>
                      <w:r w:rsidRPr="00A3235A">
                        <w:rPr>
                          <w:color w:val="000000" w:themeColor="text1"/>
                        </w:rPr>
                        <w:t>The discrepancy between the credit ratings disclosed in SA8 and Moody’s must be resolved. This discrepancy generates uncertainty in the minds of potential investors</w:t>
                      </w:r>
                      <w:r>
                        <w:rPr>
                          <w:color w:val="000000" w:themeColor="text1"/>
                        </w:rPr>
                        <w:t>.</w:t>
                      </w:r>
                    </w:p>
                    <w:p w:rsidR="000A716A" w:rsidRDefault="000A716A" w:rsidP="00665E99">
                      <w:pPr>
                        <w:pStyle w:val="ListParagraph"/>
                        <w:numPr>
                          <w:ilvl w:val="0"/>
                          <w:numId w:val="29"/>
                        </w:numPr>
                        <w:jc w:val="left"/>
                        <w:rPr>
                          <w:color w:val="000000" w:themeColor="text1"/>
                        </w:rPr>
                      </w:pPr>
                      <w:r w:rsidRPr="00A3235A">
                        <w:rPr>
                          <w:color w:val="000000" w:themeColor="text1"/>
                        </w:rPr>
                        <w:t>Schedule SA8, which includes the credit ratings, should be incorporated into the BEPP for ease of reference</w:t>
                      </w:r>
                      <w:r>
                        <w:rPr>
                          <w:color w:val="000000" w:themeColor="text1"/>
                        </w:rPr>
                        <w:t>.</w:t>
                      </w:r>
                    </w:p>
                    <w:p w:rsidR="000A716A" w:rsidRPr="00A3235A" w:rsidRDefault="000A716A" w:rsidP="00665E99">
                      <w:pPr>
                        <w:pStyle w:val="ListParagraph"/>
                        <w:numPr>
                          <w:ilvl w:val="0"/>
                          <w:numId w:val="29"/>
                        </w:numPr>
                        <w:jc w:val="left"/>
                        <w:rPr>
                          <w:color w:val="000000" w:themeColor="text1"/>
                        </w:rPr>
                      </w:pPr>
                      <w:r w:rsidRPr="00A3235A">
                        <w:rPr>
                          <w:color w:val="000000" w:themeColor="text1"/>
                        </w:rPr>
                        <w:t>Long-term financial strategies must be developed with the objective of improving current credit ratings which will make investment in catalytic capital infrastructure programmes and projects attractive to investors.</w:t>
                      </w:r>
                    </w:p>
                    <w:p w:rsidR="000A716A" w:rsidRPr="00034E30" w:rsidRDefault="000A716A" w:rsidP="00843E42">
                      <w:pPr>
                        <w:jc w:val="center"/>
                        <w:rPr>
                          <w:b/>
                          <w:color w:val="000000" w:themeColor="text1"/>
                        </w:rPr>
                      </w:pPr>
                    </w:p>
                  </w:txbxContent>
                </v:textbox>
                <w10:wrap type="topAndBottom" anchorx="margin" anchory="page"/>
              </v:roundrect>
            </w:pict>
          </mc:Fallback>
        </mc:AlternateContent>
      </w:r>
      <w:r>
        <w:t>Due to Moody’s ratings being largely average tending towards negative, potential investors will consider investments in metro projects as high-risk. This will result in metros being under increased pressure to raise loans, which will have an adverse impact on their ability to implement the project pipeline.</w:t>
      </w:r>
    </w:p>
    <w:p w:rsidR="009B7FFE" w:rsidRDefault="009B7FFE" w:rsidP="008B775B"/>
    <w:p w:rsidR="00843E42" w:rsidRDefault="00843E42" w:rsidP="008B775B"/>
    <w:p w:rsidR="00843E42" w:rsidRDefault="00843E42" w:rsidP="008B775B"/>
    <w:p w:rsidR="008B775B" w:rsidRDefault="008B775B" w:rsidP="00665E99">
      <w:pPr>
        <w:pStyle w:val="Heading3"/>
        <w:numPr>
          <w:ilvl w:val="2"/>
          <w:numId w:val="27"/>
        </w:numPr>
      </w:pPr>
      <w:bookmarkStart w:id="18" w:name="_Toc455995473"/>
      <w:r>
        <w:t>Financial Ratios</w:t>
      </w:r>
      <w:bookmarkEnd w:id="18"/>
    </w:p>
    <w:p w:rsidR="00FB7D6E" w:rsidRDefault="00FB7D6E" w:rsidP="00FB7D6E">
      <w:r w:rsidRPr="00FB7D6E">
        <w:t>Financial statemen</w:t>
      </w:r>
      <w:r>
        <w:t>t analysis the process of analys</w:t>
      </w:r>
      <w:r w:rsidRPr="00FB7D6E">
        <w:t xml:space="preserve">ing financial statements of a </w:t>
      </w:r>
      <w:r>
        <w:t>borrower</w:t>
      </w:r>
      <w:r w:rsidRPr="00FB7D6E">
        <w:t xml:space="preserve"> so as to obtain meaningful information about its survival, stability, profitability, solvency and growth prospect. The financial statement analysis can be performed by using a number of techniques </w:t>
      </w:r>
      <w:r>
        <w:t>with financial r</w:t>
      </w:r>
      <w:r w:rsidRPr="00FB7D6E">
        <w:t xml:space="preserve">atio analysis </w:t>
      </w:r>
      <w:r>
        <w:t>being</w:t>
      </w:r>
      <w:r w:rsidRPr="00FB7D6E">
        <w:t xml:space="preserve"> the most popularly and widely used technique of financial statement analysis.</w:t>
      </w:r>
    </w:p>
    <w:p w:rsidR="00FB7D6E" w:rsidRPr="00FB7D6E" w:rsidRDefault="00FB7D6E" w:rsidP="00FB7D6E"/>
    <w:p w:rsidR="00FB7D6E" w:rsidRDefault="00FB7D6E" w:rsidP="00FB7D6E">
      <w:r>
        <w:t>Financial ratio analysis is an important tool for analysing an entity’s financial performance. The following are the important advantages of the accounting ratios.</w:t>
      </w:r>
    </w:p>
    <w:p w:rsidR="00FB7D6E" w:rsidRDefault="00FB7D6E" w:rsidP="00FB7D6E"/>
    <w:p w:rsidR="00FB7D6E" w:rsidRDefault="00FB7D6E" w:rsidP="00665E99">
      <w:pPr>
        <w:pStyle w:val="ListParagraph"/>
        <w:numPr>
          <w:ilvl w:val="0"/>
          <w:numId w:val="31"/>
        </w:numPr>
      </w:pPr>
      <w:r>
        <w:t>Analysing Financial Statements</w:t>
      </w:r>
    </w:p>
    <w:p w:rsidR="00FB7D6E" w:rsidRDefault="00FB7D6E" w:rsidP="00FB7D6E">
      <w:r>
        <w:t>Ratio analysis is an important technique of financial statement analysis. Accounting ratios are useful for understanding the financial position of the entity. Different users such as investors, management. bankers and creditors use the ratio to analyse the financial situation of the entity for their decision making purpose.</w:t>
      </w:r>
    </w:p>
    <w:p w:rsidR="00FB7D6E" w:rsidRDefault="00FB7D6E" w:rsidP="00FB7D6E"/>
    <w:p w:rsidR="00FB7D6E" w:rsidRDefault="00FB7D6E" w:rsidP="00665E99">
      <w:pPr>
        <w:pStyle w:val="ListParagraph"/>
        <w:numPr>
          <w:ilvl w:val="0"/>
          <w:numId w:val="31"/>
        </w:numPr>
      </w:pPr>
      <w:r>
        <w:t>Judging Efficiency</w:t>
      </w:r>
    </w:p>
    <w:p w:rsidR="00FB7D6E" w:rsidRDefault="00FB7D6E" w:rsidP="00FB7D6E">
      <w:r>
        <w:t>Accounting ratios are important for judging the metro’s efficiency in terms of its operations and management. They help judge how well the metros has been able to utilise its assets and earn profits.</w:t>
      </w:r>
    </w:p>
    <w:p w:rsidR="00FB7D6E" w:rsidRDefault="00FB7D6E" w:rsidP="00FB7D6E"/>
    <w:p w:rsidR="00FB7D6E" w:rsidRDefault="00FB7D6E" w:rsidP="00665E99">
      <w:pPr>
        <w:pStyle w:val="ListParagraph"/>
        <w:numPr>
          <w:ilvl w:val="0"/>
          <w:numId w:val="31"/>
        </w:numPr>
      </w:pPr>
      <w:r>
        <w:t xml:space="preserve"> Locating Weakness</w:t>
      </w:r>
    </w:p>
    <w:p w:rsidR="00FB7D6E" w:rsidRDefault="00FB7D6E" w:rsidP="00FB7D6E">
      <w:r>
        <w:t>Accounting ratios can also be used in locating weakness of the organisation’s operations even though its overall performance may be quite good. Management can then pay attention to the weakness and take remedial measures to overcome them.</w:t>
      </w:r>
    </w:p>
    <w:p w:rsidR="00FB7D6E" w:rsidRDefault="00FB7D6E" w:rsidP="00FB7D6E">
      <w:r>
        <w:t xml:space="preserve"> </w:t>
      </w:r>
    </w:p>
    <w:p w:rsidR="00FB7D6E" w:rsidRDefault="00FB7D6E" w:rsidP="00665E99">
      <w:pPr>
        <w:pStyle w:val="ListParagraph"/>
        <w:numPr>
          <w:ilvl w:val="0"/>
          <w:numId w:val="31"/>
        </w:numPr>
      </w:pPr>
      <w:r>
        <w:t>Formulating Plans</w:t>
      </w:r>
    </w:p>
    <w:p w:rsidR="00FB7D6E" w:rsidRDefault="00FB7D6E" w:rsidP="00FB7D6E">
      <w:r>
        <w:t>Although accounting ratios are used to analyse the metro’s past financial performance, they can also be used to establish future trends of its financial performance. As a result, they help formulate the metro’s future plans.</w:t>
      </w:r>
    </w:p>
    <w:p w:rsidR="00FB7D6E" w:rsidRDefault="00FB7D6E" w:rsidP="00FB7D6E"/>
    <w:p w:rsidR="00FB7D6E" w:rsidRDefault="00FB7D6E" w:rsidP="00665E99">
      <w:pPr>
        <w:pStyle w:val="ListParagraph"/>
        <w:numPr>
          <w:ilvl w:val="0"/>
          <w:numId w:val="31"/>
        </w:numPr>
      </w:pPr>
      <w:r>
        <w:t>Comparing Performance</w:t>
      </w:r>
    </w:p>
    <w:p w:rsidR="00FB7D6E" w:rsidRDefault="00FB7D6E" w:rsidP="00FB7D6E">
      <w:r>
        <w:t>It is essential for an organisation to know how well it is performing over the years and as compared to the other firms of the similar nature. Besides, it is also important to know how well its different departments are performing among themselves in different years. Ratio analysis facilitates such comparison.</w:t>
      </w:r>
    </w:p>
    <w:p w:rsidR="00FB7D6E" w:rsidRDefault="00FB7D6E" w:rsidP="00FB7D6E"/>
    <w:p w:rsidR="003C701C" w:rsidRDefault="002224EA" w:rsidP="003C701C">
      <w:r w:rsidRPr="002224EA">
        <w:t xml:space="preserve">In </w:t>
      </w:r>
      <w:r>
        <w:t>performing financial analysis potential borrowers and investors use these</w:t>
      </w:r>
      <w:r w:rsidRPr="002224EA">
        <w:t xml:space="preserve"> ratio</w:t>
      </w:r>
      <w:r>
        <w:t>s</w:t>
      </w:r>
      <w:r w:rsidRPr="002224EA">
        <w:t xml:space="preserve"> </w:t>
      </w:r>
      <w:r>
        <w:t>an index or yardstick for evaluate</w:t>
      </w:r>
      <w:r w:rsidRPr="002224EA">
        <w:t xml:space="preserve"> the financial position and performance of the </w:t>
      </w:r>
      <w:r>
        <w:t>potential borrower</w:t>
      </w:r>
      <w:r w:rsidRPr="002224EA">
        <w:t xml:space="preserve">. </w:t>
      </w:r>
      <w:r>
        <w:t xml:space="preserve">Metros should therefore review their financial ratios to enable them </w:t>
      </w:r>
      <w:r w:rsidRPr="002224EA">
        <w:t>to make quantitative judgement</w:t>
      </w:r>
      <w:r>
        <w:t xml:space="preserve"> (much as the potential investor)</w:t>
      </w:r>
      <w:r w:rsidRPr="002224EA">
        <w:t xml:space="preserve"> about the financial position and performance of the firm</w:t>
      </w:r>
      <w:r>
        <w:t xml:space="preserve">. It will provide valuable insights into their strategies to sustain and improve performance. </w:t>
      </w:r>
    </w:p>
    <w:p w:rsidR="002224EA" w:rsidRDefault="002224EA" w:rsidP="003C701C"/>
    <w:p w:rsidR="00191FB4" w:rsidRDefault="00191FB4" w:rsidP="00665E99">
      <w:pPr>
        <w:pStyle w:val="Heading3"/>
        <w:numPr>
          <w:ilvl w:val="3"/>
          <w:numId w:val="27"/>
        </w:numPr>
        <w:ind w:left="1276" w:hanging="1276"/>
      </w:pPr>
      <w:bookmarkStart w:id="19" w:name="_Toc455995474"/>
      <w:r>
        <w:t>Evaluation of 2016/17 Financial Ratios</w:t>
      </w:r>
      <w:bookmarkEnd w:id="19"/>
    </w:p>
    <w:p w:rsidR="00191FB4" w:rsidRDefault="00191FB4" w:rsidP="00191FB4">
      <w:r>
        <w:t xml:space="preserve">The purpose of financial ratio analysis to provide investors </w:t>
      </w:r>
      <w:r w:rsidRPr="00191FB4">
        <w:t>to assess the relative strength of investments by performing simple calculations on items on income statements, balance sheets and cash flow statements</w:t>
      </w:r>
      <w:r>
        <w:t>. The evaluation of the key financial ratios extracted from Schedule SA8, 2016/17 MTREF of each metro is summarised below.</w:t>
      </w:r>
    </w:p>
    <w:p w:rsidR="00191FB4" w:rsidRDefault="00191FB4" w:rsidP="00191FB4">
      <w:pPr>
        <w:rPr>
          <w:noProof/>
          <w:lang w:eastAsia="en-ZA"/>
        </w:rPr>
      </w:pPr>
      <w:r>
        <w:rPr>
          <w:noProof/>
          <w:lang w:eastAsia="en-ZA"/>
        </w:rPr>
        <w:lastRenderedPageBreak/>
        <w:drawing>
          <wp:inline distT="0" distB="0" distL="0" distR="0" wp14:anchorId="6F46A5B2" wp14:editId="044F8931">
            <wp:extent cx="5901887" cy="2647950"/>
            <wp:effectExtent l="19050" t="19050" r="22860"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7081" cy="2663740"/>
                    </a:xfrm>
                    <a:prstGeom prst="rect">
                      <a:avLst/>
                    </a:prstGeom>
                    <a:ln>
                      <a:solidFill>
                        <a:schemeClr val="accent6">
                          <a:lumMod val="75000"/>
                        </a:schemeClr>
                      </a:solidFill>
                    </a:ln>
                  </pic:spPr>
                </pic:pic>
              </a:graphicData>
            </a:graphic>
          </wp:inline>
        </w:drawing>
      </w:r>
    </w:p>
    <w:p w:rsidR="00191FB4" w:rsidRDefault="00F75786" w:rsidP="00191FB4">
      <w:pPr>
        <w:rPr>
          <w:noProof/>
          <w:lang w:eastAsia="en-ZA"/>
        </w:rPr>
      </w:pPr>
      <w:r>
        <w:rPr>
          <w:noProof/>
          <w:lang w:eastAsia="en-ZA"/>
        </w:rPr>
        <w:t>The following table describes the use of the selected financial ratios.</w:t>
      </w:r>
    </w:p>
    <w:p w:rsidR="00F75786" w:rsidRDefault="00F75786" w:rsidP="00191FB4">
      <w:pPr>
        <w:rPr>
          <w:noProof/>
          <w:lang w:eastAsia="en-ZA"/>
        </w:rPr>
      </w:pPr>
      <w:r w:rsidRPr="00F75786">
        <w:rPr>
          <w:noProof/>
          <w:lang w:eastAsia="en-ZA"/>
        </w:rPr>
        <w:drawing>
          <wp:inline distT="0" distB="0" distL="0" distR="0" wp14:anchorId="7A4EC316" wp14:editId="3A9F1C3A">
            <wp:extent cx="5828030" cy="1666860"/>
            <wp:effectExtent l="57150" t="57150" r="58420" b="4826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1"/>
                    <a:stretch>
                      <a:fillRect/>
                    </a:stretch>
                  </pic:blipFill>
                  <pic:spPr>
                    <a:xfrm>
                      <a:off x="0" y="0"/>
                      <a:ext cx="5891912" cy="1685131"/>
                    </a:xfrm>
                    <a:prstGeom prst="rect">
                      <a:avLst/>
                    </a:prstGeom>
                    <a:ln>
                      <a:solidFill>
                        <a:schemeClr val="accent6">
                          <a:lumMod val="60000"/>
                          <a:lumOff val="40000"/>
                        </a:schemeClr>
                      </a:solidFill>
                    </a:ln>
                    <a:scene3d>
                      <a:camera prst="orthographicFront"/>
                      <a:lightRig rig="threePt" dir="t"/>
                    </a:scene3d>
                    <a:sp3d>
                      <a:bevelT w="114300" prst="artDeco"/>
                    </a:sp3d>
                  </pic:spPr>
                </pic:pic>
              </a:graphicData>
            </a:graphic>
          </wp:inline>
        </w:drawing>
      </w:r>
    </w:p>
    <w:p w:rsidR="00F75786" w:rsidRDefault="00F75786" w:rsidP="00191FB4">
      <w:pPr>
        <w:rPr>
          <w:noProof/>
          <w:lang w:eastAsia="en-ZA"/>
        </w:rPr>
      </w:pPr>
    </w:p>
    <w:p w:rsidR="00191FB4" w:rsidRDefault="00C41477" w:rsidP="00191FB4">
      <w:r>
        <w:rPr>
          <w:noProof/>
          <w:lang w:eastAsia="en-ZA"/>
        </w:rPr>
        <w:lastRenderedPageBreak/>
        <mc:AlternateContent>
          <mc:Choice Requires="wps">
            <w:drawing>
              <wp:anchor distT="0" distB="0" distL="114300" distR="114300" simplePos="0" relativeHeight="251669504" behindDoc="1" locked="0" layoutInCell="1" allowOverlap="1" wp14:anchorId="050AB304" wp14:editId="0682610C">
                <wp:simplePos x="0" y="0"/>
                <wp:positionH relativeFrom="margin">
                  <wp:posOffset>635</wp:posOffset>
                </wp:positionH>
                <wp:positionV relativeFrom="page">
                  <wp:posOffset>1905000</wp:posOffset>
                </wp:positionV>
                <wp:extent cx="6000750" cy="4305300"/>
                <wp:effectExtent l="0" t="0" r="19050" b="19050"/>
                <wp:wrapSquare wrapText="bothSides"/>
                <wp:docPr id="99" name="Rounded Rectangle 99"/>
                <wp:cNvGraphicFramePr/>
                <a:graphic xmlns:a="http://schemas.openxmlformats.org/drawingml/2006/main">
                  <a:graphicData uri="http://schemas.microsoft.com/office/word/2010/wordprocessingShape">
                    <wps:wsp>
                      <wps:cNvSpPr/>
                      <wps:spPr>
                        <a:xfrm>
                          <a:off x="0" y="0"/>
                          <a:ext cx="6000750" cy="4305300"/>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Default="000A716A" w:rsidP="00191FB4">
                            <w:pPr>
                              <w:rPr>
                                <w:color w:val="000000" w:themeColor="text1"/>
                              </w:rPr>
                            </w:pPr>
                            <w:r>
                              <w:rPr>
                                <w:color w:val="000000" w:themeColor="text1"/>
                              </w:rPr>
                              <w:t>RECOMMENDATIONS</w:t>
                            </w:r>
                            <w:r w:rsidR="00227464">
                              <w:rPr>
                                <w:color w:val="000000" w:themeColor="text1"/>
                              </w:rPr>
                              <w:t xml:space="preserve"> – FINANCIAL RATIOS</w:t>
                            </w:r>
                            <w:r>
                              <w:rPr>
                                <w:color w:val="000000" w:themeColor="text1"/>
                              </w:rPr>
                              <w:t>:</w:t>
                            </w:r>
                          </w:p>
                          <w:p w:rsidR="000A716A" w:rsidRDefault="000A716A" w:rsidP="00665E99">
                            <w:pPr>
                              <w:pStyle w:val="ListParagraph"/>
                              <w:numPr>
                                <w:ilvl w:val="0"/>
                                <w:numId w:val="29"/>
                              </w:numPr>
                              <w:jc w:val="left"/>
                              <w:rPr>
                                <w:color w:val="000000" w:themeColor="text1"/>
                              </w:rPr>
                            </w:pPr>
                            <w:r w:rsidRPr="00407653">
                              <w:rPr>
                                <w:color w:val="000000" w:themeColor="text1"/>
                              </w:rPr>
                              <w:t xml:space="preserve">The relevance, use and accuracy of the ratios reflected in schedule SA8 should be reviewed and revised as necessary. </w:t>
                            </w:r>
                          </w:p>
                          <w:p w:rsidR="000A716A" w:rsidRDefault="000A716A" w:rsidP="00665E99">
                            <w:pPr>
                              <w:pStyle w:val="ListParagraph"/>
                              <w:numPr>
                                <w:ilvl w:val="0"/>
                                <w:numId w:val="29"/>
                              </w:numPr>
                              <w:jc w:val="left"/>
                              <w:rPr>
                                <w:color w:val="000000" w:themeColor="text1"/>
                              </w:rPr>
                            </w:pPr>
                            <w:r w:rsidRPr="00407653">
                              <w:rPr>
                                <w:color w:val="000000" w:themeColor="text1"/>
                              </w:rPr>
                              <w:t>The revised Schedule SA8, including relevant financial ratios, should be incorporated into the BEPP for ease of reference</w:t>
                            </w:r>
                            <w:r>
                              <w:rPr>
                                <w:color w:val="000000" w:themeColor="text1"/>
                              </w:rPr>
                              <w:t>.</w:t>
                            </w:r>
                          </w:p>
                          <w:p w:rsidR="000A716A" w:rsidRPr="00407653" w:rsidRDefault="000A716A" w:rsidP="00665E99">
                            <w:pPr>
                              <w:pStyle w:val="ListParagraph"/>
                              <w:numPr>
                                <w:ilvl w:val="0"/>
                                <w:numId w:val="29"/>
                              </w:numPr>
                              <w:jc w:val="left"/>
                              <w:rPr>
                                <w:i/>
                                <w:color w:val="000000" w:themeColor="text1"/>
                              </w:rPr>
                            </w:pPr>
                            <w:r w:rsidRPr="00407653">
                              <w:rPr>
                                <w:color w:val="000000" w:themeColor="text1"/>
                              </w:rPr>
                              <w:t>Metros must investigate the gearing ratio calculation, which reflects the amount of existing equity that would be required to pay off all outstanding debts. [</w:t>
                            </w:r>
                            <w:r w:rsidRPr="00407653">
                              <w:rPr>
                                <w:i/>
                                <w:color w:val="000000" w:themeColor="text1"/>
                              </w:rPr>
                              <w:t>Metro documents reflect very high gearing ratios, and entities with ratios upward of 50% for example, represent a greater risk, because even a brief period of a sudden increase in interest rates could mean significant cash flow constraints and potential loan default].</w:t>
                            </w:r>
                          </w:p>
                          <w:p w:rsidR="000A716A" w:rsidRPr="00DA2D74" w:rsidRDefault="000A716A" w:rsidP="00665E99">
                            <w:pPr>
                              <w:pStyle w:val="ListParagraph"/>
                              <w:numPr>
                                <w:ilvl w:val="0"/>
                                <w:numId w:val="29"/>
                              </w:numPr>
                              <w:jc w:val="left"/>
                              <w:rPr>
                                <w:b/>
                                <w:color w:val="000000" w:themeColor="text1"/>
                              </w:rPr>
                            </w:pPr>
                            <w:r w:rsidRPr="00C41477">
                              <w:rPr>
                                <w:color w:val="000000" w:themeColor="text1"/>
                              </w:rPr>
                              <w:t>The cause of suboptimal financial ratios must be investigated in detail and short and long-term financial strategies must be developed with the objective of improving financial efficiency and effectiveness which will promote investor confidence in investing in catalytic capital infrastructure programmes and projects attractive to investors.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050AB304" id="Rounded Rectangle 99" o:spid="_x0000_s1029" style="position:absolute;left:0;text-align:left;margin-left:.05pt;margin-top:150pt;width:472.5pt;height:33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" fillcolor="#fabf8f [1945]" strokecolor="#974706 [1609]" strokeweight="2pt">
                <v:textbox>
                  <w:txbxContent>
                    <w:p w:rsidR="000A716A" w:rsidRDefault="000A716A" w:rsidP="00191FB4">
                      <w:pPr>
                        <w:rPr>
                          <w:color w:val="000000" w:themeColor="text1"/>
                        </w:rPr>
                      </w:pPr>
                      <w:r>
                        <w:rPr>
                          <w:color w:val="000000" w:themeColor="text1"/>
                        </w:rPr>
                        <w:t>RECOMMENDATIONS</w:t>
                      </w:r>
                      <w:r w:rsidR="00227464">
                        <w:rPr>
                          <w:color w:val="000000" w:themeColor="text1"/>
                        </w:rPr>
                        <w:t xml:space="preserve"> – FINANCIAL RATIOS</w:t>
                      </w:r>
                      <w:r>
                        <w:rPr>
                          <w:color w:val="000000" w:themeColor="text1"/>
                        </w:rPr>
                        <w:t>:</w:t>
                      </w:r>
                    </w:p>
                    <w:p w:rsidR="000A716A" w:rsidRDefault="000A716A" w:rsidP="00665E99">
                      <w:pPr>
                        <w:pStyle w:val="ListParagraph"/>
                        <w:numPr>
                          <w:ilvl w:val="0"/>
                          <w:numId w:val="29"/>
                        </w:numPr>
                        <w:jc w:val="left"/>
                        <w:rPr>
                          <w:color w:val="000000" w:themeColor="text1"/>
                        </w:rPr>
                      </w:pPr>
                      <w:r w:rsidRPr="00407653">
                        <w:rPr>
                          <w:color w:val="000000" w:themeColor="text1"/>
                        </w:rPr>
                        <w:t xml:space="preserve">The relevance, use and accuracy of the ratios reflected in schedule SA8 should be reviewed and revised as necessary. </w:t>
                      </w:r>
                    </w:p>
                    <w:p w:rsidR="000A716A" w:rsidRDefault="000A716A" w:rsidP="00665E99">
                      <w:pPr>
                        <w:pStyle w:val="ListParagraph"/>
                        <w:numPr>
                          <w:ilvl w:val="0"/>
                          <w:numId w:val="29"/>
                        </w:numPr>
                        <w:jc w:val="left"/>
                        <w:rPr>
                          <w:color w:val="000000" w:themeColor="text1"/>
                        </w:rPr>
                      </w:pPr>
                      <w:r w:rsidRPr="00407653">
                        <w:rPr>
                          <w:color w:val="000000" w:themeColor="text1"/>
                        </w:rPr>
                        <w:t>The revised Schedule SA8, including relevant financial ratios, should be incorporated into the BEPP for ease of reference</w:t>
                      </w:r>
                      <w:r>
                        <w:rPr>
                          <w:color w:val="000000" w:themeColor="text1"/>
                        </w:rPr>
                        <w:t>.</w:t>
                      </w:r>
                    </w:p>
                    <w:p w:rsidR="000A716A" w:rsidRPr="00407653" w:rsidRDefault="000A716A" w:rsidP="00665E99">
                      <w:pPr>
                        <w:pStyle w:val="ListParagraph"/>
                        <w:numPr>
                          <w:ilvl w:val="0"/>
                          <w:numId w:val="29"/>
                        </w:numPr>
                        <w:jc w:val="left"/>
                        <w:rPr>
                          <w:i/>
                          <w:color w:val="000000" w:themeColor="text1"/>
                        </w:rPr>
                      </w:pPr>
                      <w:r w:rsidRPr="00407653">
                        <w:rPr>
                          <w:color w:val="000000" w:themeColor="text1"/>
                        </w:rPr>
                        <w:t>Metros must investigate the gearing ratio calculation, which reflects the amount of existing equity that would be required to pay off all outstanding debts. [</w:t>
                      </w:r>
                      <w:r w:rsidRPr="00407653">
                        <w:rPr>
                          <w:i/>
                          <w:color w:val="000000" w:themeColor="text1"/>
                        </w:rPr>
                        <w:t>Metro documents reflect very high gearing ratios, and entities with ratios upward of 50% for example, represent a greater risk, because even a brief period of a sudden increase in interest rates could mean significant cash flow constraints and potential loan default].</w:t>
                      </w:r>
                    </w:p>
                    <w:p w:rsidR="000A716A" w:rsidRPr="00DA2D74" w:rsidRDefault="000A716A" w:rsidP="00665E99">
                      <w:pPr>
                        <w:pStyle w:val="ListParagraph"/>
                        <w:numPr>
                          <w:ilvl w:val="0"/>
                          <w:numId w:val="29"/>
                        </w:numPr>
                        <w:jc w:val="left"/>
                        <w:rPr>
                          <w:b/>
                          <w:color w:val="000000" w:themeColor="text1"/>
                        </w:rPr>
                      </w:pPr>
                      <w:r w:rsidRPr="00C41477">
                        <w:rPr>
                          <w:color w:val="000000" w:themeColor="text1"/>
                        </w:rPr>
                        <w:t>The cause of suboptimal financial ratios must be investigated in detail and short and long-term financial strategies must be developed with the objective of improving financial efficiency and effectiveness which will promote investor confidence in investing in catalytic capital infrastructure programmes and projects attractive to investors.</w:t>
                      </w:r>
                    </w:p>
                  </w:txbxContent>
                </v:textbox>
                <w10:wrap type="square" anchorx="margin" anchory="page"/>
              </v:roundrect>
            </w:pict>
          </mc:Fallback>
        </mc:AlternateContent>
      </w:r>
      <w:r w:rsidR="00F75786">
        <w:t xml:space="preserve">In </w:t>
      </w:r>
      <w:r w:rsidR="00CE4661">
        <w:t>general,</w:t>
      </w:r>
      <w:r w:rsidR="00F75786">
        <w:t xml:space="preserve"> the financial ratios a</w:t>
      </w:r>
      <w:r w:rsidR="00CE4661">
        <w:t>re</w:t>
      </w:r>
      <w:r w:rsidR="00F75786">
        <w:t xml:space="preserve"> positive</w:t>
      </w:r>
      <w:r w:rsidR="00CE4661">
        <w:t xml:space="preserve"> and would exert a favourable influence on potential investors. </w:t>
      </w:r>
      <w:r w:rsidR="00407653">
        <w:t>However,</w:t>
      </w:r>
      <w:r w:rsidR="00CE4661">
        <w:t xml:space="preserve"> investors </w:t>
      </w:r>
      <w:r w:rsidR="00407653">
        <w:t xml:space="preserve">for purposes of decision-making </w:t>
      </w:r>
      <w:r w:rsidR="00CE4661">
        <w:t xml:space="preserve">rely on a number of financial ratios, </w:t>
      </w:r>
      <w:r w:rsidR="00407653">
        <w:t>amongst other tools, thus the favourable ratios will not in themselves result in a positive outcome to requests for funds.</w:t>
      </w:r>
    </w:p>
    <w:p w:rsidR="00C41477" w:rsidRDefault="00C41477">
      <w:pPr>
        <w:spacing w:after="200" w:line="276" w:lineRule="auto"/>
        <w:jc w:val="left"/>
      </w:pPr>
      <w:r>
        <w:br w:type="page"/>
      </w:r>
    </w:p>
    <w:p w:rsidR="008B775B" w:rsidRDefault="008B775B" w:rsidP="00665E99">
      <w:pPr>
        <w:pStyle w:val="Heading3"/>
        <w:numPr>
          <w:ilvl w:val="2"/>
          <w:numId w:val="27"/>
        </w:numPr>
      </w:pPr>
      <w:bookmarkStart w:id="20" w:name="_Toc455995475"/>
      <w:r>
        <w:lastRenderedPageBreak/>
        <w:t>Cash-generating Project Pipeline</w:t>
      </w:r>
      <w:bookmarkEnd w:id="20"/>
    </w:p>
    <w:p w:rsidR="00C84134" w:rsidRDefault="006E3178" w:rsidP="004831F8">
      <w:r w:rsidRPr="006E3178">
        <w:t xml:space="preserve">Cash flow analysis is a critical process for both </w:t>
      </w:r>
      <w:r w:rsidR="004831F8">
        <w:t>the metros</w:t>
      </w:r>
      <w:r w:rsidRPr="006E3178">
        <w:t xml:space="preserve"> and investors.</w:t>
      </w:r>
      <w:r w:rsidR="004831F8">
        <w:t xml:space="preserve"> One of the most important features that is examined in a potential investment is the metro’s ability to produce cash. Even though a metro may appear profitable on the income statement does not imply that it will not face challenges later because of insufficient cash flows. A close examination of the cash flow statement can give investors a better sense of how the metro will fare.</w:t>
      </w:r>
    </w:p>
    <w:p w:rsidR="004831F8" w:rsidRDefault="004831F8" w:rsidP="004831F8"/>
    <w:p w:rsidR="004831F8" w:rsidRDefault="004831F8" w:rsidP="004831F8">
      <w:r>
        <w:t>Organisations produce and consume cash in different ways, so the cash flow statement is divided into three sections: cash flows from operations, financing and investing. Basically, the sections on operations and financing show how the company gets its cash, while the investing section shows how the company spends its cash.</w:t>
      </w:r>
    </w:p>
    <w:p w:rsidR="004831F8" w:rsidRDefault="004831F8" w:rsidP="00665E99">
      <w:pPr>
        <w:pStyle w:val="ListParagraph"/>
        <w:numPr>
          <w:ilvl w:val="0"/>
          <w:numId w:val="32"/>
        </w:numPr>
      </w:pPr>
      <w:r>
        <w:t xml:space="preserve">Cash Flows from Operating Activities </w:t>
      </w:r>
    </w:p>
    <w:p w:rsidR="004831F8" w:rsidRDefault="004831F8" w:rsidP="004831F8">
      <w:r>
        <w:t xml:space="preserve">This section shows how much cash comes from revenues derived from the provision of services, less the amount of cash needed to provide those goods and services. Investors tend to prefer entities that produce a net positive cash flow from operating activities. Public sector entities tend to show negative cash flow from operations especially where there is limited focus on generating their own revenues. At the same time, changes in cash flow from operations typically offer a preview of changes in net future income. Normally it is a positive indicator when it goes up. Investors are particularly cautious where there is a widening gap between the metro’s reported earnings and its cash flow from operating activities. </w:t>
      </w:r>
    </w:p>
    <w:p w:rsidR="00670506" w:rsidRDefault="00670506" w:rsidP="004831F8"/>
    <w:p w:rsidR="00670506" w:rsidRDefault="00670506" w:rsidP="00665E99">
      <w:pPr>
        <w:pStyle w:val="ListParagraph"/>
        <w:numPr>
          <w:ilvl w:val="0"/>
          <w:numId w:val="32"/>
        </w:numPr>
      </w:pPr>
      <w:r>
        <w:t xml:space="preserve">Cash Flow from Financing Activities </w:t>
      </w:r>
    </w:p>
    <w:p w:rsidR="00670506" w:rsidRDefault="00670506" w:rsidP="00670506">
      <w:r>
        <w:t xml:space="preserve">This section describes the movements of cash associated with outside financing activities. Typical sources of cash inflow would be cash raised by selling bonds or by bank borrowings. Likewise, payment of bank loans would be reflected as use of cash flow. </w:t>
      </w:r>
    </w:p>
    <w:p w:rsidR="004831F8" w:rsidRDefault="004831F8" w:rsidP="004831F8"/>
    <w:p w:rsidR="004831F8" w:rsidRDefault="004831F8" w:rsidP="00665E99">
      <w:pPr>
        <w:pStyle w:val="ListParagraph"/>
        <w:numPr>
          <w:ilvl w:val="0"/>
          <w:numId w:val="32"/>
        </w:numPr>
      </w:pPr>
      <w:r>
        <w:t xml:space="preserve">Cash Flows from Investing Activities </w:t>
      </w:r>
    </w:p>
    <w:p w:rsidR="004831F8" w:rsidRDefault="004831F8" w:rsidP="004831F8">
      <w:r>
        <w:t xml:space="preserve">This section largely reflects the amount of cash the metro has spent on capital expenditures. It also includes monetary investments such as money market funds. Investors want to see a metro company re-invest capital in its business by at least the rate of depreciation expenses each year. If it does not re-invest, it might show artificially high cash inflows in the current year which may not be sustainable. </w:t>
      </w:r>
    </w:p>
    <w:p w:rsidR="00C41477" w:rsidRDefault="00C41477">
      <w:pPr>
        <w:spacing w:after="200" w:line="276" w:lineRule="auto"/>
        <w:jc w:val="left"/>
      </w:pPr>
      <w:r>
        <w:br w:type="page"/>
      </w:r>
    </w:p>
    <w:p w:rsidR="00C84134" w:rsidRDefault="00C84134" w:rsidP="004831F8"/>
    <w:p w:rsidR="00C84134" w:rsidRDefault="00C84134" w:rsidP="004831F8">
      <w:r>
        <w:t>The philosophy behind investment in cash-generating projects is illustrated below:</w:t>
      </w:r>
    </w:p>
    <w:p w:rsidR="00C84134" w:rsidRDefault="002244A6" w:rsidP="004831F8">
      <w:r>
        <w:rPr>
          <w:noProof/>
          <w:lang w:eastAsia="en-ZA"/>
        </w:rPr>
        <w:drawing>
          <wp:inline distT="0" distB="0" distL="0" distR="0" wp14:anchorId="52D1AC80" wp14:editId="50D38B9B">
            <wp:extent cx="5886450" cy="21145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6450" cy="2114550"/>
                    </a:xfrm>
                    <a:prstGeom prst="rect">
                      <a:avLst/>
                    </a:prstGeom>
                  </pic:spPr>
                </pic:pic>
              </a:graphicData>
            </a:graphic>
          </wp:inline>
        </w:drawing>
      </w:r>
    </w:p>
    <w:p w:rsidR="00670506" w:rsidRDefault="00670506" w:rsidP="00670506">
      <w:r>
        <w:t xml:space="preserve">Savvy investors are attracted to organisations that produce plenty of free cash flow (FCF). Free cash flow signals the metro’s ability to repay debt and facilitate the growth and sustainability of operations. Free cash flow, which is essentially the excess cash produced by the metro, can be invested in new growth opportunities without constraining the existing operations. </w:t>
      </w:r>
    </w:p>
    <w:p w:rsidR="004831F8" w:rsidRDefault="004831F8" w:rsidP="004831F8"/>
    <w:p w:rsidR="00670506" w:rsidRDefault="00670506" w:rsidP="00670506">
      <w:r>
        <w:t>Ideally, investors would like to see that the metro can pay for the investing figure out of operations without having to rely on outside financing to do so. A metro’s ability to pay for its own operations and growth signals to investors that it has very strong fundamentals.</w:t>
      </w:r>
    </w:p>
    <w:p w:rsidR="00244ED0" w:rsidRDefault="00244ED0" w:rsidP="00244ED0"/>
    <w:p w:rsidR="009B4204" w:rsidRDefault="009B4204" w:rsidP="00665E99">
      <w:pPr>
        <w:pStyle w:val="Heading3"/>
        <w:numPr>
          <w:ilvl w:val="3"/>
          <w:numId w:val="27"/>
        </w:numPr>
        <w:ind w:left="1276" w:hanging="1276"/>
      </w:pPr>
      <w:bookmarkStart w:id="21" w:name="_Toc455995476"/>
      <w:r>
        <w:t xml:space="preserve">Evaluation of 2016/17 </w:t>
      </w:r>
      <w:r w:rsidR="00C84134">
        <w:t>Cash-generating Pipeline</w:t>
      </w:r>
      <w:bookmarkEnd w:id="21"/>
      <w:r w:rsidR="00C84134">
        <w:t xml:space="preserve"> </w:t>
      </w:r>
    </w:p>
    <w:p w:rsidR="00C84134" w:rsidRDefault="009B4204" w:rsidP="009B4204">
      <w:r>
        <w:t xml:space="preserve">The </w:t>
      </w:r>
      <w:r w:rsidR="00C84134">
        <w:t>objective of evaluating the cash-generating project pipeline enables investors to determine whether planned projects will generate sufficient cash to repay itself and support further growth of the metro.</w:t>
      </w:r>
    </w:p>
    <w:p w:rsidR="00C84134" w:rsidRDefault="00C84134" w:rsidP="009B4204"/>
    <w:p w:rsidR="009B4204" w:rsidRDefault="002244A6" w:rsidP="009B4204">
      <w:r>
        <w:t>The findings from this aspect of the evaluation</w:t>
      </w:r>
      <w:r w:rsidR="009B4204">
        <w:t xml:space="preserve"> of the </w:t>
      </w:r>
      <w:r w:rsidR="00C84134">
        <w:t xml:space="preserve">BEPP of </w:t>
      </w:r>
      <w:r w:rsidR="009B4204">
        <w:t>each metro is summarised below.</w:t>
      </w:r>
    </w:p>
    <w:p w:rsidR="009B4204" w:rsidRDefault="002244A6" w:rsidP="009B4204">
      <w:pPr>
        <w:rPr>
          <w:noProof/>
          <w:lang w:eastAsia="en-ZA"/>
        </w:rPr>
      </w:pPr>
      <w:r>
        <w:rPr>
          <w:noProof/>
          <w:lang w:eastAsia="en-ZA"/>
        </w:rPr>
        <w:drawing>
          <wp:inline distT="0" distB="0" distL="0" distR="0" wp14:anchorId="5E9FA2BB" wp14:editId="2D32CF94">
            <wp:extent cx="5904230" cy="1314450"/>
            <wp:effectExtent l="19050" t="19050" r="20320" b="190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04230" cy="1314450"/>
                    </a:xfrm>
                    <a:prstGeom prst="rect">
                      <a:avLst/>
                    </a:prstGeom>
                    <a:ln>
                      <a:solidFill>
                        <a:schemeClr val="accent6">
                          <a:lumMod val="50000"/>
                        </a:schemeClr>
                      </a:solidFill>
                    </a:ln>
                  </pic:spPr>
                </pic:pic>
              </a:graphicData>
            </a:graphic>
          </wp:inline>
        </w:drawing>
      </w:r>
    </w:p>
    <w:p w:rsidR="009B4204" w:rsidRDefault="00C41477" w:rsidP="009B4204">
      <w:r>
        <w:rPr>
          <w:noProof/>
          <w:lang w:eastAsia="en-ZA"/>
        </w:rPr>
        <w:lastRenderedPageBreak/>
        <mc:AlternateContent>
          <mc:Choice Requires="wps">
            <w:drawing>
              <wp:anchor distT="0" distB="0" distL="114300" distR="114300" simplePos="0" relativeHeight="251671552" behindDoc="1" locked="0" layoutInCell="1" allowOverlap="1" wp14:anchorId="11522CF9" wp14:editId="1893F585">
                <wp:simplePos x="0" y="0"/>
                <wp:positionH relativeFrom="margin">
                  <wp:posOffset>-170815</wp:posOffset>
                </wp:positionH>
                <wp:positionV relativeFrom="page">
                  <wp:posOffset>1390650</wp:posOffset>
                </wp:positionV>
                <wp:extent cx="6048375" cy="2200275"/>
                <wp:effectExtent l="0" t="0" r="28575" b="28575"/>
                <wp:wrapSquare wrapText="bothSides"/>
                <wp:docPr id="103" name="Rounded Rectangle 103"/>
                <wp:cNvGraphicFramePr/>
                <a:graphic xmlns:a="http://schemas.openxmlformats.org/drawingml/2006/main">
                  <a:graphicData uri="http://schemas.microsoft.com/office/word/2010/wordprocessingShape">
                    <wps:wsp>
                      <wps:cNvSpPr/>
                      <wps:spPr>
                        <a:xfrm>
                          <a:off x="0" y="0"/>
                          <a:ext cx="6048375" cy="220027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204" w:rsidRDefault="009B4204" w:rsidP="009B4204">
                            <w:pPr>
                              <w:rPr>
                                <w:color w:val="000000" w:themeColor="text1"/>
                              </w:rPr>
                            </w:pPr>
                            <w:r>
                              <w:rPr>
                                <w:color w:val="000000" w:themeColor="text1"/>
                              </w:rPr>
                              <w:t>RECOMMENDATIONS</w:t>
                            </w:r>
                            <w:r w:rsidR="00227464">
                              <w:rPr>
                                <w:color w:val="000000" w:themeColor="text1"/>
                              </w:rPr>
                              <w:t xml:space="preserve"> – CASH GENERATING PROJECTS</w:t>
                            </w:r>
                            <w:r>
                              <w:rPr>
                                <w:color w:val="000000" w:themeColor="text1"/>
                              </w:rPr>
                              <w:t>:</w:t>
                            </w:r>
                          </w:p>
                          <w:p w:rsidR="00C41477" w:rsidRDefault="00C41477" w:rsidP="00665E99">
                            <w:pPr>
                              <w:pStyle w:val="ListParagraph"/>
                              <w:numPr>
                                <w:ilvl w:val="0"/>
                                <w:numId w:val="29"/>
                              </w:numPr>
                              <w:jc w:val="left"/>
                              <w:rPr>
                                <w:color w:val="000000" w:themeColor="text1"/>
                              </w:rPr>
                            </w:pPr>
                            <w:r w:rsidRPr="00C41477">
                              <w:rPr>
                                <w:color w:val="000000" w:themeColor="text1"/>
                              </w:rPr>
                              <w:t>Metros should identify and prioritise investment in cash generating projects</w:t>
                            </w:r>
                          </w:p>
                          <w:p w:rsidR="00C41477" w:rsidRDefault="00C41477" w:rsidP="00665E99">
                            <w:pPr>
                              <w:pStyle w:val="ListParagraph"/>
                              <w:numPr>
                                <w:ilvl w:val="0"/>
                                <w:numId w:val="29"/>
                              </w:numPr>
                              <w:jc w:val="left"/>
                              <w:rPr>
                                <w:color w:val="000000" w:themeColor="text1"/>
                              </w:rPr>
                            </w:pPr>
                            <w:r w:rsidRPr="00C41477">
                              <w:rPr>
                                <w:color w:val="000000" w:themeColor="text1"/>
                              </w:rPr>
                              <w:t>Metros should incorporate the estimates of funds to be generated from these investments into their financial strategies, cash flow projections and planning the rollout of subsequent projects</w:t>
                            </w:r>
                          </w:p>
                          <w:p w:rsidR="00C41477" w:rsidRDefault="00C41477" w:rsidP="00665E99">
                            <w:pPr>
                              <w:pStyle w:val="ListParagraph"/>
                              <w:numPr>
                                <w:ilvl w:val="0"/>
                                <w:numId w:val="29"/>
                              </w:numPr>
                              <w:jc w:val="left"/>
                              <w:rPr>
                                <w:color w:val="000000" w:themeColor="text1"/>
                              </w:rPr>
                            </w:pPr>
                            <w:r w:rsidRPr="00C41477">
                              <w:rPr>
                                <w:color w:val="000000" w:themeColor="text1"/>
                              </w:rPr>
                              <w:t>Cash generating projects, should be clearly identified, and disclosed in the BEPP detailing projected cash flows and planned use of these funds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11522CF9" id="Rounded Rectangle 103" o:spid="_x0000_s1030" style="position:absolute;left:0;text-align:left;margin-left:-13.45pt;margin-top:109.5pt;width:476.25pt;height:173.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" fillcolor="#fabf8f [1945]" strokecolor="#974706 [1609]" strokeweight="2pt">
                <v:textbox>
                  <w:txbxContent>
                    <w:p w:rsidR="009B4204" w:rsidRDefault="009B4204" w:rsidP="009B4204">
                      <w:pPr>
                        <w:rPr>
                          <w:color w:val="000000" w:themeColor="text1"/>
                        </w:rPr>
                      </w:pPr>
                      <w:r>
                        <w:rPr>
                          <w:color w:val="000000" w:themeColor="text1"/>
                        </w:rPr>
                        <w:t>RECOMMENDATIONS</w:t>
                      </w:r>
                      <w:r w:rsidR="00227464">
                        <w:rPr>
                          <w:color w:val="000000" w:themeColor="text1"/>
                        </w:rPr>
                        <w:t xml:space="preserve"> – CASH GENERATING PROJECTS</w:t>
                      </w:r>
                      <w:r>
                        <w:rPr>
                          <w:color w:val="000000" w:themeColor="text1"/>
                        </w:rPr>
                        <w:t>:</w:t>
                      </w:r>
                    </w:p>
                    <w:p w:rsidR="00C41477" w:rsidRDefault="00C41477" w:rsidP="00665E99">
                      <w:pPr>
                        <w:pStyle w:val="ListParagraph"/>
                        <w:numPr>
                          <w:ilvl w:val="0"/>
                          <w:numId w:val="29"/>
                        </w:numPr>
                        <w:jc w:val="left"/>
                        <w:rPr>
                          <w:color w:val="000000" w:themeColor="text1"/>
                        </w:rPr>
                      </w:pPr>
                      <w:r w:rsidRPr="00C41477">
                        <w:rPr>
                          <w:color w:val="000000" w:themeColor="text1"/>
                        </w:rPr>
                        <w:t>Metros should identify and prioritise investment in cash generating projects</w:t>
                      </w:r>
                    </w:p>
                    <w:p w:rsidR="00C41477" w:rsidRDefault="00C41477" w:rsidP="00665E99">
                      <w:pPr>
                        <w:pStyle w:val="ListParagraph"/>
                        <w:numPr>
                          <w:ilvl w:val="0"/>
                          <w:numId w:val="29"/>
                        </w:numPr>
                        <w:jc w:val="left"/>
                        <w:rPr>
                          <w:color w:val="000000" w:themeColor="text1"/>
                        </w:rPr>
                      </w:pPr>
                      <w:r w:rsidRPr="00C41477">
                        <w:rPr>
                          <w:color w:val="000000" w:themeColor="text1"/>
                        </w:rPr>
                        <w:t>Metros should incorporate the estimates of funds to be generated from these investments into their financial strategies, cash flow projections and planning the rollout of subsequent projects</w:t>
                      </w:r>
                    </w:p>
                    <w:p w:rsidR="00C41477" w:rsidRDefault="00C41477" w:rsidP="00665E99">
                      <w:pPr>
                        <w:pStyle w:val="ListParagraph"/>
                        <w:numPr>
                          <w:ilvl w:val="0"/>
                          <w:numId w:val="29"/>
                        </w:numPr>
                        <w:jc w:val="left"/>
                        <w:rPr>
                          <w:color w:val="000000" w:themeColor="text1"/>
                        </w:rPr>
                      </w:pPr>
                      <w:r w:rsidRPr="00C41477">
                        <w:rPr>
                          <w:color w:val="000000" w:themeColor="text1"/>
                        </w:rPr>
                        <w:t>Cash generating projects, should be clearly identified, and disclosed in the BEPP detailing projected cash flows and planned use of these funds</w:t>
                      </w:r>
                    </w:p>
                  </w:txbxContent>
                </v:textbox>
                <w10:wrap type="square" anchorx="margin" anchory="page"/>
              </v:roundrect>
            </w:pict>
          </mc:Fallback>
        </mc:AlternateContent>
      </w:r>
      <w:r w:rsidR="002244A6">
        <w:t xml:space="preserve">Based on the desk-top review of the BEPPs, it was not possible to determine whether planned projects were cash-generating. </w:t>
      </w:r>
    </w:p>
    <w:p w:rsidR="009B4204" w:rsidRDefault="009B4204" w:rsidP="009B4204">
      <w:pPr>
        <w:pStyle w:val="ListParagraph"/>
        <w:ind w:left="450"/>
      </w:pPr>
    </w:p>
    <w:p w:rsidR="00670506" w:rsidRDefault="00670506" w:rsidP="00244ED0"/>
    <w:p w:rsidR="009B4204" w:rsidRDefault="009B4204" w:rsidP="00244ED0"/>
    <w:p w:rsidR="00C41477" w:rsidRDefault="00C41477">
      <w:pPr>
        <w:spacing w:after="200" w:line="276" w:lineRule="auto"/>
        <w:jc w:val="left"/>
      </w:pPr>
      <w:r>
        <w:br w:type="page"/>
      </w:r>
    </w:p>
    <w:p w:rsidR="008B775B" w:rsidRDefault="008B775B" w:rsidP="00665E99">
      <w:pPr>
        <w:pStyle w:val="Heading3"/>
        <w:numPr>
          <w:ilvl w:val="2"/>
          <w:numId w:val="27"/>
        </w:numPr>
      </w:pPr>
      <w:bookmarkStart w:id="22" w:name="_Toc455995477"/>
      <w:r>
        <w:lastRenderedPageBreak/>
        <w:t>Long-term Financial Strategy</w:t>
      </w:r>
      <w:bookmarkEnd w:id="22"/>
    </w:p>
    <w:p w:rsidR="005E099F" w:rsidRDefault="005E099F" w:rsidP="005E099F">
      <w:r>
        <w:t xml:space="preserve">Strategic planning is many things, but it surely includes the processes of deciding how to commit the metros’ resources across </w:t>
      </w:r>
      <w:r w:rsidR="00C85803">
        <w:t>its different departments. The financial side of strategic planning allocates a particular resource, finance.</w:t>
      </w:r>
      <w:r w:rsidR="000A716A">
        <w:t xml:space="preserve"> </w:t>
      </w:r>
    </w:p>
    <w:p w:rsidR="000A716A" w:rsidRDefault="000A716A" w:rsidP="005E099F"/>
    <w:p w:rsidR="000A716A" w:rsidRPr="005E099F" w:rsidRDefault="000A716A" w:rsidP="005E099F">
      <w:r w:rsidRPr="000A716A">
        <w:t xml:space="preserve">Strategic financial management is managing </w:t>
      </w:r>
      <w:r>
        <w:t>the metros</w:t>
      </w:r>
      <w:r w:rsidRPr="000A716A">
        <w:t xml:space="preserve"> financial resources so as to achieve its </w:t>
      </w:r>
      <w:r>
        <w:t>operational objectives and maximis</w:t>
      </w:r>
      <w:r w:rsidRPr="000A716A">
        <w:t xml:space="preserve">e its value. Strategic financial management involves a defined sequence of steps that </w:t>
      </w:r>
      <w:r>
        <w:t xml:space="preserve">encompasses the full range of the metro’s </w:t>
      </w:r>
      <w:r w:rsidRPr="000A716A">
        <w:t>finances, from setting out objectives and identifying resources, analysing data and making financial decisions, to tracking the variance between actual and budgeted results and identifying the reasons for this variance. The term "strategic" means that this approach to financial management has a long-term horizon.</w:t>
      </w:r>
    </w:p>
    <w:p w:rsidR="005E099F" w:rsidRPr="005E099F" w:rsidRDefault="005E099F" w:rsidP="005E099F"/>
    <w:p w:rsidR="00C85803" w:rsidRDefault="00C85803" w:rsidP="00C85803">
      <w:r>
        <w:t>A finance strategy is integral to the metro’s strategic plan. It sets out how the metro plans to finance its overall operations to meet its objectives in the short- and long-term. The financial strategy summarises targets, and the actions to be taken over the immediate and future periods to achieve the targets. It also clearly states key policies which will guide those actions. The strategy is informed by the risks and opportunities that have been identified. It must include as a minimum:</w:t>
      </w:r>
    </w:p>
    <w:p w:rsidR="00C85803" w:rsidRDefault="00C85803" w:rsidP="00665E99">
      <w:pPr>
        <w:pStyle w:val="ListParagraph"/>
        <w:numPr>
          <w:ilvl w:val="0"/>
          <w:numId w:val="32"/>
        </w:numPr>
      </w:pPr>
      <w:r>
        <w:t>The desired funding mix – the balance and sources of re</w:t>
      </w:r>
      <w:r w:rsidR="00F3390D">
        <w:t>stricted and unrestricted funds;</w:t>
      </w:r>
    </w:p>
    <w:p w:rsidR="00C85803" w:rsidRDefault="00C85803" w:rsidP="00665E99">
      <w:pPr>
        <w:pStyle w:val="ListParagraph"/>
        <w:numPr>
          <w:ilvl w:val="0"/>
          <w:numId w:val="32"/>
        </w:numPr>
      </w:pPr>
      <w:r>
        <w:t>Grant dependency –</w:t>
      </w:r>
      <w:r w:rsidR="00F3390D">
        <w:t xml:space="preserve"> </w:t>
      </w:r>
      <w:r>
        <w:t>expressed as a percentage of overall income</w:t>
      </w:r>
      <w:r w:rsidR="00F3390D">
        <w:t>;</w:t>
      </w:r>
    </w:p>
    <w:p w:rsidR="00C85803" w:rsidRDefault="00C85803" w:rsidP="00665E99">
      <w:pPr>
        <w:pStyle w:val="ListParagraph"/>
        <w:numPr>
          <w:ilvl w:val="0"/>
          <w:numId w:val="32"/>
        </w:numPr>
      </w:pPr>
      <w:r>
        <w:t xml:space="preserve">Level of general reserves – usually expressed as the number of days that the </w:t>
      </w:r>
      <w:r w:rsidR="00F3390D">
        <w:t>metro</w:t>
      </w:r>
      <w:r>
        <w:t xml:space="preserve"> could co</w:t>
      </w:r>
      <w:r w:rsidR="00F3390D">
        <w:t>ntinue without external funding;</w:t>
      </w:r>
    </w:p>
    <w:p w:rsidR="00F3390D" w:rsidRDefault="00F3390D" w:rsidP="00665E99">
      <w:pPr>
        <w:pStyle w:val="ListParagraph"/>
        <w:numPr>
          <w:ilvl w:val="0"/>
          <w:numId w:val="32"/>
        </w:numPr>
      </w:pPr>
      <w:r>
        <w:t>Funding needs – with particular focus on development of catalytic infrastructure programmes</w:t>
      </w:r>
    </w:p>
    <w:p w:rsidR="00F3390D" w:rsidRDefault="00F3390D" w:rsidP="00665E99">
      <w:pPr>
        <w:pStyle w:val="ListParagraph"/>
        <w:numPr>
          <w:ilvl w:val="0"/>
          <w:numId w:val="32"/>
        </w:numPr>
      </w:pPr>
      <w:r>
        <w:t>Actions and interventions to be undertaken by the metro each year to finance the strategic plan and achieve the financial targets identified. This should include sections on:</w:t>
      </w:r>
    </w:p>
    <w:p w:rsidR="00F3390D" w:rsidRDefault="00BA74F4" w:rsidP="00665E99">
      <w:pPr>
        <w:pStyle w:val="ListParagraph"/>
        <w:numPr>
          <w:ilvl w:val="0"/>
          <w:numId w:val="33"/>
        </w:numPr>
      </w:pPr>
      <w:r>
        <w:t xml:space="preserve">Strategy </w:t>
      </w:r>
      <w:r w:rsidR="00F3390D">
        <w:t>to increase the mix and level of unrestricted funds;</w:t>
      </w:r>
    </w:p>
    <w:p w:rsidR="00F3390D" w:rsidRDefault="00BA74F4" w:rsidP="00665E99">
      <w:pPr>
        <w:pStyle w:val="ListParagraph"/>
        <w:numPr>
          <w:ilvl w:val="0"/>
          <w:numId w:val="33"/>
        </w:numPr>
      </w:pPr>
      <w:r>
        <w:t xml:space="preserve">Strategy </w:t>
      </w:r>
      <w:r w:rsidR="00F3390D">
        <w:t>to finance core costs;</w:t>
      </w:r>
    </w:p>
    <w:p w:rsidR="00F3390D" w:rsidRDefault="00BA74F4" w:rsidP="00665E99">
      <w:pPr>
        <w:pStyle w:val="ListParagraph"/>
        <w:numPr>
          <w:ilvl w:val="0"/>
          <w:numId w:val="33"/>
        </w:numPr>
      </w:pPr>
      <w:r>
        <w:t xml:space="preserve">Strategy </w:t>
      </w:r>
      <w:r w:rsidR="00F3390D">
        <w:t>to build up reserves;</w:t>
      </w:r>
    </w:p>
    <w:p w:rsidR="00F3390D" w:rsidRDefault="00BA74F4" w:rsidP="00665E99">
      <w:pPr>
        <w:pStyle w:val="ListParagraph"/>
        <w:numPr>
          <w:ilvl w:val="0"/>
          <w:numId w:val="33"/>
        </w:numPr>
      </w:pPr>
      <w:r>
        <w:t xml:space="preserve">Strategy </w:t>
      </w:r>
      <w:r w:rsidR="00F3390D">
        <w:t>to replace and maintain fixed assets; and</w:t>
      </w:r>
    </w:p>
    <w:p w:rsidR="00F3390D" w:rsidRDefault="00BA74F4" w:rsidP="00665E99">
      <w:pPr>
        <w:pStyle w:val="ListParagraph"/>
        <w:numPr>
          <w:ilvl w:val="0"/>
          <w:numId w:val="33"/>
        </w:numPr>
      </w:pPr>
      <w:r>
        <w:t xml:space="preserve">Strategy </w:t>
      </w:r>
      <w:r w:rsidR="00F3390D">
        <w:t>to apply funds to achieve maximum benefit</w:t>
      </w:r>
    </w:p>
    <w:p w:rsidR="00F3390D" w:rsidRDefault="00BA74F4" w:rsidP="00665E99">
      <w:pPr>
        <w:pStyle w:val="ListParagraph"/>
        <w:numPr>
          <w:ilvl w:val="0"/>
          <w:numId w:val="33"/>
        </w:numPr>
      </w:pPr>
      <w:r>
        <w:t>Example of</w:t>
      </w:r>
      <w:r w:rsidR="00F3390D">
        <w:t xml:space="preserve"> actions to increase the percentage of unrestricted income might include:</w:t>
      </w:r>
    </w:p>
    <w:p w:rsidR="00F3390D" w:rsidRDefault="00F3390D" w:rsidP="00665E99">
      <w:pPr>
        <w:pStyle w:val="ListParagraph"/>
        <w:numPr>
          <w:ilvl w:val="0"/>
          <w:numId w:val="34"/>
        </w:numPr>
      </w:pPr>
      <w:r>
        <w:t>increasing or introducing fees for users of services to recover some or all of the costs of providing the service;</w:t>
      </w:r>
    </w:p>
    <w:p w:rsidR="00F3390D" w:rsidRDefault="00F3390D" w:rsidP="00665E99">
      <w:pPr>
        <w:pStyle w:val="ListParagraph"/>
        <w:numPr>
          <w:ilvl w:val="0"/>
          <w:numId w:val="34"/>
        </w:numPr>
      </w:pPr>
      <w:r>
        <w:lastRenderedPageBreak/>
        <w:t>introducing income-generating activities;</w:t>
      </w:r>
    </w:p>
    <w:p w:rsidR="00F3390D" w:rsidRDefault="00F3390D" w:rsidP="00665E99">
      <w:pPr>
        <w:pStyle w:val="ListParagraph"/>
        <w:numPr>
          <w:ilvl w:val="0"/>
          <w:numId w:val="34"/>
        </w:numPr>
      </w:pPr>
      <w:r>
        <w:t>making use of under-utilised resources (e.g. renting out office space, vehicles); and</w:t>
      </w:r>
    </w:p>
    <w:p w:rsidR="00F3390D" w:rsidRDefault="00F3390D" w:rsidP="00665E99">
      <w:pPr>
        <w:pStyle w:val="ListParagraph"/>
        <w:numPr>
          <w:ilvl w:val="0"/>
          <w:numId w:val="34"/>
        </w:numPr>
      </w:pPr>
      <w:r>
        <w:t>increasing the priority given to generating internal revenues</w:t>
      </w:r>
      <w:r w:rsidR="00BA74F4">
        <w:t>.</w:t>
      </w:r>
    </w:p>
    <w:p w:rsidR="00BA74F4" w:rsidRDefault="00BA74F4" w:rsidP="00665E99">
      <w:pPr>
        <w:pStyle w:val="ListParagraph"/>
        <w:numPr>
          <w:ilvl w:val="0"/>
          <w:numId w:val="32"/>
        </w:numPr>
      </w:pPr>
      <w:r>
        <w:t>P</w:t>
      </w:r>
      <w:r w:rsidRPr="00BA74F4">
        <w:t>olicies that guide the financing strategy</w:t>
      </w:r>
      <w:r>
        <w:t xml:space="preserve"> which can include:</w:t>
      </w:r>
    </w:p>
    <w:p w:rsidR="00BA74F4" w:rsidRDefault="00BA74F4" w:rsidP="00665E99">
      <w:pPr>
        <w:pStyle w:val="ListParagraph"/>
        <w:numPr>
          <w:ilvl w:val="0"/>
          <w:numId w:val="33"/>
        </w:numPr>
      </w:pPr>
      <w:r w:rsidRPr="00BA74F4">
        <w:t xml:space="preserve">Reserves policy – what level of reserves </w:t>
      </w:r>
      <w:r>
        <w:t>are to be accumulated</w:t>
      </w:r>
      <w:r w:rsidRPr="00BA74F4">
        <w:t>, and how surpluses will be handled.</w:t>
      </w:r>
    </w:p>
    <w:p w:rsidR="00BA74F4" w:rsidRDefault="00BA74F4" w:rsidP="00665E99">
      <w:pPr>
        <w:pStyle w:val="ListParagraph"/>
        <w:numPr>
          <w:ilvl w:val="0"/>
          <w:numId w:val="33"/>
        </w:numPr>
      </w:pPr>
      <w:r w:rsidRPr="00BA74F4">
        <w:t>Core costs policy – what method will be used to recover programme support costs from projects and funders. It will also clarify the policy on subsidising ‘poorer’ projects and how that will be decided and managed</w:t>
      </w:r>
      <w:r>
        <w:t>.</w:t>
      </w:r>
    </w:p>
    <w:p w:rsidR="00BA74F4" w:rsidRDefault="00BA74F4" w:rsidP="00665E99">
      <w:pPr>
        <w:pStyle w:val="ListParagraph"/>
        <w:numPr>
          <w:ilvl w:val="0"/>
          <w:numId w:val="33"/>
        </w:numPr>
      </w:pPr>
      <w:r w:rsidRPr="00BA74F4">
        <w:t>Pricing and cost recovery policy – where charges are to be made to service users, this will explain the basis and formula used for the charging, and the pricing structure.</w:t>
      </w:r>
    </w:p>
    <w:p w:rsidR="007D7386" w:rsidRDefault="007D7386" w:rsidP="007D7386"/>
    <w:p w:rsidR="007D7386" w:rsidRDefault="007D7386" w:rsidP="007D7386">
      <w:r>
        <w:t>The key steps of the development of the Finance Strategy is illustrated below:</w:t>
      </w:r>
    </w:p>
    <w:p w:rsidR="007D7386" w:rsidRDefault="007D7386" w:rsidP="007D7386">
      <w:r w:rsidRPr="007D7386">
        <w:rPr>
          <w:noProof/>
          <w:lang w:eastAsia="en-ZA"/>
        </w:rPr>
        <w:drawing>
          <wp:inline distT="0" distB="0" distL="0" distR="0" wp14:anchorId="7F3EB778" wp14:editId="241173BA">
            <wp:extent cx="5915025" cy="857250"/>
            <wp:effectExtent l="38100" t="0" r="66675"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85803" w:rsidRDefault="00C85803" w:rsidP="00C85803"/>
    <w:p w:rsidR="000A716A" w:rsidRDefault="000A716A" w:rsidP="000A716A">
      <w:r>
        <w:t xml:space="preserve">The long-term finance strategy provides investors with the confidence that the metro has developed the necessary plans to remain on track to attain its short-term and long-term goals, while maximizing value for its citizens and stakeholders. </w:t>
      </w:r>
    </w:p>
    <w:p w:rsidR="009B4204" w:rsidRDefault="009B4204" w:rsidP="00665E99">
      <w:pPr>
        <w:pStyle w:val="Heading3"/>
        <w:numPr>
          <w:ilvl w:val="3"/>
          <w:numId w:val="27"/>
        </w:numPr>
        <w:ind w:left="1276" w:hanging="1276"/>
      </w:pPr>
      <w:bookmarkStart w:id="23" w:name="_Toc455995478"/>
      <w:r>
        <w:t xml:space="preserve">Evaluation of 2016/17 </w:t>
      </w:r>
      <w:r w:rsidR="00C41477">
        <w:t>Long-term Financial Strategy</w:t>
      </w:r>
      <w:bookmarkEnd w:id="23"/>
    </w:p>
    <w:p w:rsidR="00C41477" w:rsidRDefault="009B4204" w:rsidP="00C41477">
      <w:r>
        <w:t xml:space="preserve">The purpose of </w:t>
      </w:r>
      <w:r w:rsidR="00C41477">
        <w:t>the evaluation is to determine whether the metro has a l</w:t>
      </w:r>
      <w:r w:rsidR="00C41477" w:rsidRPr="00C41477">
        <w:t>ong-term financial strategy</w:t>
      </w:r>
      <w:r w:rsidR="00C41477">
        <w:t xml:space="preserve">. This provides </w:t>
      </w:r>
      <w:r w:rsidR="00C41477" w:rsidRPr="00C41477">
        <w:t xml:space="preserve">insight into </w:t>
      </w:r>
      <w:r w:rsidR="00C41477">
        <w:t xml:space="preserve">the </w:t>
      </w:r>
      <w:r w:rsidR="00C41477" w:rsidRPr="00C41477">
        <w:t xml:space="preserve">future financial capacity to achieve long-term sustainability in light of the </w:t>
      </w:r>
      <w:r w:rsidR="00B857C1">
        <w:t>metro’s</w:t>
      </w:r>
      <w:r w:rsidR="00C41477" w:rsidRPr="00C41477">
        <w:t xml:space="preserve"> service objectives, financial challenges and the overall catalytic infrastructure demands.</w:t>
      </w:r>
    </w:p>
    <w:p w:rsidR="00B857C1" w:rsidRPr="00C41477" w:rsidRDefault="00B857C1" w:rsidP="00C41477"/>
    <w:p w:rsidR="009B4204" w:rsidRDefault="009B4204" w:rsidP="009B4204">
      <w:pPr>
        <w:rPr>
          <w:noProof/>
          <w:lang w:eastAsia="en-ZA"/>
        </w:rPr>
      </w:pPr>
      <w:r>
        <w:t xml:space="preserve">The </w:t>
      </w:r>
      <w:r w:rsidR="00B857C1">
        <w:t xml:space="preserve">findings are summarised below: </w:t>
      </w:r>
    </w:p>
    <w:p w:rsidR="007D7386" w:rsidRDefault="00B857C1" w:rsidP="009B4204">
      <w:r>
        <w:rPr>
          <w:noProof/>
          <w:lang w:eastAsia="en-ZA"/>
        </w:rPr>
        <w:lastRenderedPageBreak/>
        <w:drawing>
          <wp:inline distT="0" distB="0" distL="0" distR="0" wp14:anchorId="4C91673C" wp14:editId="01323946">
            <wp:extent cx="5904230" cy="1295400"/>
            <wp:effectExtent l="19050" t="19050" r="20320" b="190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904230" cy="1295400"/>
                    </a:xfrm>
                    <a:prstGeom prst="rect">
                      <a:avLst/>
                    </a:prstGeom>
                    <a:ln>
                      <a:solidFill>
                        <a:schemeClr val="accent6">
                          <a:lumMod val="50000"/>
                        </a:schemeClr>
                      </a:solidFill>
                    </a:ln>
                  </pic:spPr>
                </pic:pic>
              </a:graphicData>
            </a:graphic>
          </wp:inline>
        </w:drawing>
      </w:r>
    </w:p>
    <w:p w:rsidR="009440DD" w:rsidRDefault="00B857C1" w:rsidP="009B4204">
      <w:r>
        <w:t>It is recognised that metros are at different levels of maturity in this respect. Since metros realise</w:t>
      </w:r>
      <w:r w:rsidR="00B73251">
        <w:t xml:space="preserve"> th</w:t>
      </w:r>
      <w:r>
        <w:t>e importance of a long-term financial strategy, all metros are actively engaged in differen</w:t>
      </w:r>
      <w:r w:rsidR="00B73251">
        <w:t xml:space="preserve">t </w:t>
      </w:r>
      <w:r w:rsidR="009440DD">
        <w:t xml:space="preserve">stages of the long-term financial development and implementation process. </w:t>
      </w:r>
    </w:p>
    <w:p w:rsidR="009B4204" w:rsidRDefault="00B73251" w:rsidP="009440DD">
      <w:r>
        <w:t xml:space="preserve"> </w:t>
      </w:r>
      <w:r>
        <w:rPr>
          <w:noProof/>
          <w:lang w:eastAsia="en-ZA"/>
        </w:rPr>
        <mc:AlternateContent>
          <mc:Choice Requires="wps">
            <w:drawing>
              <wp:inline distT="0" distB="0" distL="0" distR="0" wp14:anchorId="7ECBE90D" wp14:editId="6FB88185">
                <wp:extent cx="6000750" cy="5534025"/>
                <wp:effectExtent l="0" t="0" r="19050" b="28575"/>
                <wp:docPr id="106" name="Rounded Rectangle 106"/>
                <wp:cNvGraphicFramePr/>
                <a:graphic xmlns:a="http://schemas.openxmlformats.org/drawingml/2006/main">
                  <a:graphicData uri="http://schemas.microsoft.com/office/word/2010/wordprocessingShape">
                    <wps:wsp>
                      <wps:cNvSpPr/>
                      <wps:spPr>
                        <a:xfrm>
                          <a:off x="0" y="0"/>
                          <a:ext cx="6000750" cy="553402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LONG TERM FINANCIAL STRATEGY</w:t>
                            </w:r>
                            <w:r>
                              <w:rPr>
                                <w:color w:val="000000" w:themeColor="text1"/>
                              </w:rPr>
                              <w:t>:</w:t>
                            </w:r>
                          </w:p>
                          <w:p w:rsidR="00D1001F" w:rsidRPr="00D1001F" w:rsidRDefault="00D1001F" w:rsidP="00665E99">
                            <w:pPr>
                              <w:pStyle w:val="ListParagraph"/>
                              <w:numPr>
                                <w:ilvl w:val="0"/>
                                <w:numId w:val="29"/>
                              </w:numPr>
                              <w:jc w:val="left"/>
                              <w:rPr>
                                <w:color w:val="000000" w:themeColor="text1"/>
                              </w:rPr>
                            </w:pPr>
                            <w:r w:rsidRPr="00D1001F">
                              <w:rPr>
                                <w:color w:val="000000" w:themeColor="text1"/>
                              </w:rPr>
                              <w:t>All metros should develop long-</w:t>
                            </w:r>
                            <w:r>
                              <w:rPr>
                                <w:color w:val="000000" w:themeColor="text1"/>
                              </w:rPr>
                              <w:t xml:space="preserve">term financial strategies as a </w:t>
                            </w:r>
                            <w:r w:rsidRPr="00D1001F">
                              <w:rPr>
                                <w:color w:val="000000" w:themeColor="text1"/>
                              </w:rPr>
                              <w:t>matter of urgency, and take into consideration the following:</w:t>
                            </w:r>
                          </w:p>
                          <w:p w:rsidR="00D1001F" w:rsidRPr="00D1001F" w:rsidRDefault="00D1001F" w:rsidP="00665E99">
                            <w:pPr>
                              <w:pStyle w:val="ListParagraph"/>
                              <w:numPr>
                                <w:ilvl w:val="0"/>
                                <w:numId w:val="35"/>
                              </w:numPr>
                              <w:jc w:val="left"/>
                              <w:rPr>
                                <w:color w:val="000000" w:themeColor="text1"/>
                              </w:rPr>
                            </w:pPr>
                            <w:r>
                              <w:rPr>
                                <w:color w:val="000000" w:themeColor="text1"/>
                              </w:rPr>
                              <w:t xml:space="preserve">Time Frame </w:t>
                            </w:r>
                            <w:r w:rsidRPr="00D1001F">
                              <w:rPr>
                                <w:color w:val="000000" w:themeColor="text1"/>
                              </w:rPr>
                              <w:t xml:space="preserve">- at least five to ten years into the future. </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Scope - should consider all appropriated funds, but especially funding related to capital expenditure for catalytic infrastructure projects</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Frequency - should be updated as needed in order to provide direction to the budget process</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 xml:space="preserve">Content - should include: </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an analysis of the financial environment;</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revenue &amp; expenditure forecasts;</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 xml:space="preserve">debt position &amp; affordability analysis; </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strategies for achieving &amp; maintaining financial balance; and</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plan monitoring mechanisms, such as scorecard of key indicators of financial health</w:t>
                            </w:r>
                          </w:p>
                          <w:p w:rsidR="009B4204" w:rsidRPr="00D1001F" w:rsidRDefault="00D1001F" w:rsidP="00665E99">
                            <w:pPr>
                              <w:pStyle w:val="ListParagraph"/>
                              <w:numPr>
                                <w:ilvl w:val="0"/>
                                <w:numId w:val="35"/>
                              </w:numPr>
                              <w:jc w:val="left"/>
                              <w:rPr>
                                <w:b/>
                                <w:color w:val="000000" w:themeColor="text1"/>
                              </w:rPr>
                            </w:pPr>
                            <w:r w:rsidRPr="00D1001F">
                              <w:rPr>
                                <w:color w:val="000000" w:themeColor="text1"/>
                              </w:rPr>
                              <w:t>Visibility - should devise an effective means for communicating this information, through either separate plan documents or by integrating it with existing communication devices.</w:t>
                            </w:r>
                          </w:p>
                          <w:p w:rsidR="00D1001F" w:rsidRPr="00D1001F" w:rsidRDefault="00D1001F" w:rsidP="00665E99">
                            <w:pPr>
                              <w:pStyle w:val="ListParagraph"/>
                              <w:numPr>
                                <w:ilvl w:val="0"/>
                                <w:numId w:val="29"/>
                              </w:numPr>
                              <w:jc w:val="left"/>
                              <w:rPr>
                                <w:color w:val="000000" w:themeColor="text1"/>
                              </w:rPr>
                            </w:pPr>
                            <w:r w:rsidRPr="00D1001F">
                              <w:rPr>
                                <w:color w:val="000000" w:themeColor="text1"/>
                              </w:rPr>
                              <w:t>Relevant sections of the long-term financial strategy should be included in the BEPP, especially where this is of significance to a potential investor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7ECBE90D" id="Rounded Rectangle 106" o:spid="_x0000_s1031" style="width:472.5pt;height:43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" fillcolor="#fabf8f [1945]" strokecolor="#974706 [1609]" strokeweight="2pt">
                <v:textbo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LONG TERM FINANCIAL STRATEGY</w:t>
                      </w:r>
                      <w:r>
                        <w:rPr>
                          <w:color w:val="000000" w:themeColor="text1"/>
                        </w:rPr>
                        <w:t>:</w:t>
                      </w:r>
                    </w:p>
                    <w:p w:rsidR="00D1001F" w:rsidRPr="00D1001F" w:rsidRDefault="00D1001F" w:rsidP="00665E99">
                      <w:pPr>
                        <w:pStyle w:val="ListParagraph"/>
                        <w:numPr>
                          <w:ilvl w:val="0"/>
                          <w:numId w:val="29"/>
                        </w:numPr>
                        <w:jc w:val="left"/>
                        <w:rPr>
                          <w:color w:val="000000" w:themeColor="text1"/>
                        </w:rPr>
                      </w:pPr>
                      <w:r w:rsidRPr="00D1001F">
                        <w:rPr>
                          <w:color w:val="000000" w:themeColor="text1"/>
                        </w:rPr>
                        <w:t>All metros should develop long-</w:t>
                      </w:r>
                      <w:r>
                        <w:rPr>
                          <w:color w:val="000000" w:themeColor="text1"/>
                        </w:rPr>
                        <w:t xml:space="preserve">term financial strategies as a </w:t>
                      </w:r>
                      <w:r w:rsidRPr="00D1001F">
                        <w:rPr>
                          <w:color w:val="000000" w:themeColor="text1"/>
                        </w:rPr>
                        <w:t>matter of urgency, and take into consideration the following:</w:t>
                      </w:r>
                    </w:p>
                    <w:p w:rsidR="00D1001F" w:rsidRPr="00D1001F" w:rsidRDefault="00D1001F" w:rsidP="00665E99">
                      <w:pPr>
                        <w:pStyle w:val="ListParagraph"/>
                        <w:numPr>
                          <w:ilvl w:val="0"/>
                          <w:numId w:val="35"/>
                        </w:numPr>
                        <w:jc w:val="left"/>
                        <w:rPr>
                          <w:color w:val="000000" w:themeColor="text1"/>
                        </w:rPr>
                      </w:pPr>
                      <w:r>
                        <w:rPr>
                          <w:color w:val="000000" w:themeColor="text1"/>
                        </w:rPr>
                        <w:t xml:space="preserve">Time Frame </w:t>
                      </w:r>
                      <w:r w:rsidRPr="00D1001F">
                        <w:rPr>
                          <w:color w:val="000000" w:themeColor="text1"/>
                        </w:rPr>
                        <w:t xml:space="preserve">- at least five to ten years into the future. </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Scope - should consider all appropriated funds, but especially funding related to capital expenditure for catalytic infrastructure projects</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Frequency - should be updated as needed in order to provide direction to the budget process</w:t>
                      </w:r>
                    </w:p>
                    <w:p w:rsidR="00D1001F" w:rsidRPr="00D1001F" w:rsidRDefault="00D1001F" w:rsidP="00665E99">
                      <w:pPr>
                        <w:pStyle w:val="ListParagraph"/>
                        <w:numPr>
                          <w:ilvl w:val="0"/>
                          <w:numId w:val="35"/>
                        </w:numPr>
                        <w:jc w:val="left"/>
                        <w:rPr>
                          <w:color w:val="000000" w:themeColor="text1"/>
                        </w:rPr>
                      </w:pPr>
                      <w:r w:rsidRPr="00D1001F">
                        <w:rPr>
                          <w:color w:val="000000" w:themeColor="text1"/>
                        </w:rPr>
                        <w:t xml:space="preserve">Content - should include: </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an analysis of the financial environment;</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revenue &amp; expenditure forecasts;</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 xml:space="preserve">debt position &amp; affordability analysis; </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strategies for achieving &amp; maintaining financial balance; and</w:t>
                      </w:r>
                    </w:p>
                    <w:p w:rsidR="00D1001F" w:rsidRPr="00D1001F" w:rsidRDefault="00D1001F" w:rsidP="00665E99">
                      <w:pPr>
                        <w:pStyle w:val="ListParagraph"/>
                        <w:numPr>
                          <w:ilvl w:val="1"/>
                          <w:numId w:val="35"/>
                        </w:numPr>
                        <w:jc w:val="left"/>
                        <w:rPr>
                          <w:color w:val="000000" w:themeColor="text1"/>
                        </w:rPr>
                      </w:pPr>
                      <w:r w:rsidRPr="00D1001F">
                        <w:rPr>
                          <w:color w:val="000000" w:themeColor="text1"/>
                        </w:rPr>
                        <w:t>plan monitoring mechanisms, such as scorecard of key indicators of financial health</w:t>
                      </w:r>
                    </w:p>
                    <w:p w:rsidR="009B4204" w:rsidRPr="00D1001F" w:rsidRDefault="00D1001F" w:rsidP="00665E99">
                      <w:pPr>
                        <w:pStyle w:val="ListParagraph"/>
                        <w:numPr>
                          <w:ilvl w:val="0"/>
                          <w:numId w:val="35"/>
                        </w:numPr>
                        <w:jc w:val="left"/>
                        <w:rPr>
                          <w:b/>
                          <w:color w:val="000000" w:themeColor="text1"/>
                        </w:rPr>
                      </w:pPr>
                      <w:r w:rsidRPr="00D1001F">
                        <w:rPr>
                          <w:color w:val="000000" w:themeColor="text1"/>
                        </w:rPr>
                        <w:t>Visibility - should devise an effective means for communicating this information, through either separate plan documents or by integrating it with existing communication devices.</w:t>
                      </w:r>
                    </w:p>
                    <w:p w:rsidR="00D1001F" w:rsidRPr="00D1001F" w:rsidRDefault="00D1001F" w:rsidP="00665E99">
                      <w:pPr>
                        <w:pStyle w:val="ListParagraph"/>
                        <w:numPr>
                          <w:ilvl w:val="0"/>
                          <w:numId w:val="29"/>
                        </w:numPr>
                        <w:jc w:val="left"/>
                        <w:rPr>
                          <w:color w:val="000000" w:themeColor="text1"/>
                        </w:rPr>
                      </w:pPr>
                      <w:r w:rsidRPr="00D1001F">
                        <w:rPr>
                          <w:color w:val="000000" w:themeColor="text1"/>
                        </w:rPr>
                        <w:t>Relevant sections of the long-term financial strategy should be included in the BEPP, especially where this is of significance to a potential investor</w:t>
                      </w:r>
                    </w:p>
                  </w:txbxContent>
                </v:textbox>
                <w10:anchorlock/>
              </v:roundrect>
            </w:pict>
          </mc:Fallback>
        </mc:AlternateContent>
      </w:r>
    </w:p>
    <w:p w:rsidR="007D7386" w:rsidRDefault="007D7386">
      <w:pPr>
        <w:spacing w:after="200" w:line="276" w:lineRule="auto"/>
        <w:jc w:val="left"/>
      </w:pPr>
      <w:r>
        <w:br w:type="page"/>
      </w:r>
    </w:p>
    <w:p w:rsidR="008B775B" w:rsidRDefault="00B857C1" w:rsidP="00665E99">
      <w:pPr>
        <w:pStyle w:val="Heading3"/>
        <w:numPr>
          <w:ilvl w:val="2"/>
          <w:numId w:val="27"/>
        </w:numPr>
      </w:pPr>
      <w:bookmarkStart w:id="24" w:name="_Toc455995479"/>
      <w:r>
        <w:lastRenderedPageBreak/>
        <w:t>O</w:t>
      </w:r>
      <w:r w:rsidR="008B775B">
        <w:t>ff-Balance Sheet Initiatives</w:t>
      </w:r>
      <w:bookmarkEnd w:id="24"/>
    </w:p>
    <w:p w:rsidR="007D7386" w:rsidRDefault="00175FA0" w:rsidP="000A716A">
      <w:r>
        <w:t>Off-</w:t>
      </w:r>
      <w:r w:rsidR="000A716A">
        <w:t xml:space="preserve">balance sheet (OBS) items refer to assets or liabilities that do not appear on the metro’s balance sheet but that are nonetheless effectively assets or liabilities of the metro. Assets </w:t>
      </w:r>
      <w:r>
        <w:t>or liabilities designated off-</w:t>
      </w:r>
      <w:r w:rsidR="000A716A">
        <w:t xml:space="preserve">balance sheet are typically ones that the metro is not the recognised legal owner of, or in the case of a liability, does not have direct legal responsibility for. As an example, an operating lease is one of the most common off-balance items. </w:t>
      </w:r>
      <w:r w:rsidR="007D7386">
        <w:t>Other examples are illustrated below:</w:t>
      </w:r>
    </w:p>
    <w:p w:rsidR="007D7386" w:rsidRDefault="007D7386" w:rsidP="000A716A">
      <w:r w:rsidRPr="007D7386">
        <w:rPr>
          <w:noProof/>
          <w:lang w:eastAsia="en-ZA"/>
        </w:rPr>
        <w:drawing>
          <wp:inline distT="0" distB="0" distL="0" distR="0" wp14:anchorId="144DC2FB" wp14:editId="063DCDCF">
            <wp:extent cx="5718000" cy="3202730"/>
            <wp:effectExtent l="0" t="0" r="16510" b="1714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0A716A" w:rsidRDefault="000A716A" w:rsidP="000A716A"/>
    <w:p w:rsidR="00BE6CC4" w:rsidRDefault="00175FA0" w:rsidP="00BE6CC4">
      <w:r>
        <w:t>Off-</w:t>
      </w:r>
      <w:r w:rsidR="000A716A">
        <w:t xml:space="preserve">balance sheet items are an important concern for investors in regard to assessing a metro’s financial health. Off balance sheet items are often difficult to identify and track within the metro’s financial statements because they </w:t>
      </w:r>
      <w:r w:rsidR="00BE6CC4">
        <w:t>might</w:t>
      </w:r>
      <w:r w:rsidR="000A716A">
        <w:t xml:space="preserve"> only appear in the accompanying notes. A</w:t>
      </w:r>
      <w:r>
        <w:t>nother concern is that some off-</w:t>
      </w:r>
      <w:r w:rsidR="000A716A">
        <w:t>balance sheet items have the potential to become hidden liabilities</w:t>
      </w:r>
      <w:r w:rsidR="00BE6CC4">
        <w:t xml:space="preserve">. Off- balance sheet items are not inherently intended to be deceptive </w:t>
      </w:r>
      <w:r>
        <w:t>or misleading to investors. Off-</w:t>
      </w:r>
      <w:r w:rsidR="00BE6CC4">
        <w:t>balance sheet items are also used to share both risks and benefits of assets and liabilities with other companies, as in the case of joint venture projects.</w:t>
      </w:r>
    </w:p>
    <w:p w:rsidR="00BE6CC4" w:rsidRDefault="00BE6CC4" w:rsidP="00BE6CC4"/>
    <w:p w:rsidR="00BE6CC4" w:rsidRDefault="00BE6CC4" w:rsidP="00BE6CC4">
      <w:r>
        <w:t xml:space="preserve">Through off-balance-sheet financing large capital expenditures may not be reflected on a metro’s balance sheet. Investors are aware that organisations often use off-balance-sheet financing to keep their debt to equity (D/E) and leverage ratios low, especially if the inclusion of a large expenditure would result in negative financial ratios. </w:t>
      </w:r>
      <w:r w:rsidR="00311A3A">
        <w:t>Particular attention should therefore be given to ensuring that such items are fully disclosed to potential investors.</w:t>
      </w:r>
    </w:p>
    <w:p w:rsidR="000A716A" w:rsidRDefault="000A716A" w:rsidP="000A716A"/>
    <w:p w:rsidR="009B4204" w:rsidRDefault="009B4204" w:rsidP="00665E99">
      <w:pPr>
        <w:pStyle w:val="Heading3"/>
        <w:numPr>
          <w:ilvl w:val="3"/>
          <w:numId w:val="27"/>
        </w:numPr>
        <w:ind w:left="1276" w:hanging="1276"/>
      </w:pPr>
      <w:bookmarkStart w:id="25" w:name="_Toc455995480"/>
      <w:r>
        <w:lastRenderedPageBreak/>
        <w:t xml:space="preserve">Evaluation of 2016/17 </w:t>
      </w:r>
      <w:r w:rsidR="00175FA0">
        <w:t>Off-</w:t>
      </w:r>
      <w:r w:rsidR="007D7386">
        <w:t>Balance Sheet Arrangements</w:t>
      </w:r>
      <w:bookmarkEnd w:id="25"/>
    </w:p>
    <w:p w:rsidR="00D1001F" w:rsidRDefault="00D1001F" w:rsidP="009B4204">
      <w:r>
        <w:t>The rationale supporting the evaluation of o</w:t>
      </w:r>
      <w:r w:rsidR="00175FA0">
        <w:t>ff-</w:t>
      </w:r>
      <w:r w:rsidRPr="00D1001F">
        <w:t xml:space="preserve">balance sheet items </w:t>
      </w:r>
      <w:r>
        <w:t xml:space="preserve">is that this is </w:t>
      </w:r>
      <w:r w:rsidRPr="00D1001F">
        <w:t>of particular interest to investors trying to determine the financial hea</w:t>
      </w:r>
      <w:r>
        <w:t>lth of the metro, noting that t</w:t>
      </w:r>
      <w:r w:rsidRPr="00D1001F">
        <w:t>hese items are harder to track, an</w:t>
      </w:r>
      <w:r>
        <w:t xml:space="preserve">d can become hidden liabilities. </w:t>
      </w:r>
    </w:p>
    <w:p w:rsidR="00D1001F" w:rsidRDefault="00D1001F" w:rsidP="009B4204"/>
    <w:p w:rsidR="009B4204" w:rsidRDefault="009B4204" w:rsidP="009B4204">
      <w:r>
        <w:t xml:space="preserve">The evaluation of the </w:t>
      </w:r>
      <w:r w:rsidR="00175FA0">
        <w:t>off-</w:t>
      </w:r>
      <w:r w:rsidR="007D7386">
        <w:t>balance sheet items</w:t>
      </w:r>
      <w:r>
        <w:t xml:space="preserve"> of each metro is summarised below.</w:t>
      </w:r>
    </w:p>
    <w:p w:rsidR="009B4204" w:rsidRDefault="00D1001F" w:rsidP="009B4204">
      <w:pPr>
        <w:rPr>
          <w:noProof/>
          <w:lang w:eastAsia="en-ZA"/>
        </w:rPr>
      </w:pPr>
      <w:r>
        <w:rPr>
          <w:noProof/>
          <w:lang w:eastAsia="en-ZA"/>
        </w:rPr>
        <w:drawing>
          <wp:inline distT="0" distB="0" distL="0" distR="0" wp14:anchorId="0C0D41A3" wp14:editId="739BCFF8">
            <wp:extent cx="5904230" cy="117157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04230" cy="1171575"/>
                    </a:xfrm>
                    <a:prstGeom prst="rect">
                      <a:avLst/>
                    </a:prstGeom>
                  </pic:spPr>
                </pic:pic>
              </a:graphicData>
            </a:graphic>
          </wp:inline>
        </w:drawing>
      </w:r>
    </w:p>
    <w:p w:rsidR="009B4204" w:rsidRDefault="009B4204" w:rsidP="009B4204">
      <w:pPr>
        <w:rPr>
          <w:noProof/>
          <w:lang w:eastAsia="en-ZA"/>
        </w:rPr>
      </w:pPr>
    </w:p>
    <w:p w:rsidR="009B4204" w:rsidRDefault="007D7386" w:rsidP="009B4204">
      <w:r>
        <w:t xml:space="preserve">It was not possible to determine </w:t>
      </w:r>
      <w:r w:rsidR="00915401">
        <w:t>f</w:t>
      </w:r>
      <w:r w:rsidR="00C25AF0">
        <w:t>r</w:t>
      </w:r>
      <w:r w:rsidR="00915401">
        <w:t>o</w:t>
      </w:r>
      <w:r w:rsidR="00C25AF0">
        <w:t>m the BEPPs whether metros have off-balance sheet funding or the significance of such arrangements.</w:t>
      </w:r>
    </w:p>
    <w:p w:rsidR="009B4204" w:rsidRDefault="009B4204" w:rsidP="009B4204">
      <w:pPr>
        <w:pStyle w:val="ListParagraph"/>
        <w:ind w:left="450"/>
      </w:pPr>
      <w:r>
        <w:rPr>
          <w:noProof/>
          <w:lang w:eastAsia="en-ZA"/>
        </w:rPr>
        <mc:AlternateContent>
          <mc:Choice Requires="wps">
            <w:drawing>
              <wp:anchor distT="0" distB="0" distL="114300" distR="114300" simplePos="0" relativeHeight="251675648" behindDoc="1" locked="0" layoutInCell="1" allowOverlap="1" wp14:anchorId="3B86616B" wp14:editId="2D541752">
                <wp:simplePos x="0" y="0"/>
                <wp:positionH relativeFrom="margin">
                  <wp:align>left</wp:align>
                </wp:positionH>
                <wp:positionV relativeFrom="paragraph">
                  <wp:posOffset>245110</wp:posOffset>
                </wp:positionV>
                <wp:extent cx="6000750" cy="2771775"/>
                <wp:effectExtent l="0" t="0" r="19050" b="28575"/>
                <wp:wrapSquare wrapText="bothSides"/>
                <wp:docPr id="109" name="Rounded Rectangle 109"/>
                <wp:cNvGraphicFramePr/>
                <a:graphic xmlns:a="http://schemas.openxmlformats.org/drawingml/2006/main">
                  <a:graphicData uri="http://schemas.microsoft.com/office/word/2010/wordprocessingShape">
                    <wps:wsp>
                      <wps:cNvSpPr/>
                      <wps:spPr>
                        <a:xfrm>
                          <a:off x="0" y="0"/>
                          <a:ext cx="6000750" cy="277177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OFF-BALANCE SHEET ARRANGEMENTS</w:t>
                            </w:r>
                            <w:r>
                              <w:rPr>
                                <w:color w:val="000000" w:themeColor="text1"/>
                              </w:rPr>
                              <w:t>:</w:t>
                            </w:r>
                          </w:p>
                          <w:p w:rsidR="00C25AF0" w:rsidRPr="00C25AF0" w:rsidRDefault="00175FA0" w:rsidP="00665E99">
                            <w:pPr>
                              <w:pStyle w:val="ListParagraph"/>
                              <w:numPr>
                                <w:ilvl w:val="0"/>
                                <w:numId w:val="29"/>
                              </w:numPr>
                              <w:jc w:val="left"/>
                              <w:rPr>
                                <w:color w:val="000000" w:themeColor="text1"/>
                              </w:rPr>
                            </w:pPr>
                            <w:r>
                              <w:rPr>
                                <w:color w:val="000000" w:themeColor="text1"/>
                              </w:rPr>
                              <w:t>Metros should disclose off-</w:t>
                            </w:r>
                            <w:r w:rsidR="00C25AF0" w:rsidRPr="00C25AF0">
                              <w:rPr>
                                <w:color w:val="000000" w:themeColor="text1"/>
                              </w:rPr>
                              <w:t xml:space="preserve">balance sheet arrangements under the following conditions: </w:t>
                            </w:r>
                          </w:p>
                          <w:p w:rsidR="00C25AF0" w:rsidRPr="00C25AF0" w:rsidRDefault="00C25AF0" w:rsidP="00665E99">
                            <w:pPr>
                              <w:pStyle w:val="ListParagraph"/>
                              <w:numPr>
                                <w:ilvl w:val="1"/>
                                <w:numId w:val="29"/>
                              </w:numPr>
                              <w:jc w:val="left"/>
                              <w:rPr>
                                <w:color w:val="000000" w:themeColor="text1"/>
                              </w:rPr>
                            </w:pPr>
                            <w:r w:rsidRPr="00C25AF0">
                              <w:rPr>
                                <w:color w:val="000000" w:themeColor="text1"/>
                              </w:rPr>
                              <w:t>the risks or benefits arising from arrangements are material;</w:t>
                            </w:r>
                          </w:p>
                          <w:p w:rsidR="009B4204" w:rsidRPr="00C25AF0" w:rsidRDefault="00C25AF0" w:rsidP="00665E99">
                            <w:pPr>
                              <w:pStyle w:val="ListParagraph"/>
                              <w:numPr>
                                <w:ilvl w:val="1"/>
                                <w:numId w:val="29"/>
                              </w:numPr>
                              <w:jc w:val="left"/>
                              <w:rPr>
                                <w:b/>
                                <w:color w:val="000000" w:themeColor="text1"/>
                              </w:rPr>
                            </w:pPr>
                            <w:r w:rsidRPr="00C25AF0">
                              <w:rPr>
                                <w:color w:val="000000" w:themeColor="text1"/>
                              </w:rPr>
                              <w:t>only to the extent necessary for enabling the financial position of the company to</w:t>
                            </w:r>
                            <w:r>
                              <w:rPr>
                                <w:color w:val="000000" w:themeColor="text1"/>
                              </w:rPr>
                              <w:t xml:space="preserve"> </w:t>
                            </w:r>
                            <w:r w:rsidRPr="00C25AF0">
                              <w:rPr>
                                <w:color w:val="000000" w:themeColor="text1"/>
                              </w:rPr>
                              <w:t>be assessed, particularly by potential investors</w:t>
                            </w:r>
                          </w:p>
                          <w:p w:rsidR="00C25AF0" w:rsidRDefault="00C25AF0" w:rsidP="00665E99">
                            <w:pPr>
                              <w:pStyle w:val="ListParagraph"/>
                              <w:numPr>
                                <w:ilvl w:val="0"/>
                                <w:numId w:val="29"/>
                              </w:numPr>
                              <w:jc w:val="left"/>
                              <w:rPr>
                                <w:color w:val="000000" w:themeColor="text1"/>
                              </w:rPr>
                            </w:pPr>
                            <w:r w:rsidRPr="00C25AF0">
                              <w:rPr>
                                <w:color w:val="000000" w:themeColor="text1"/>
                              </w:rPr>
                              <w:t>Metros should factor the potential impact of these arrangements into the calculations of their financial ratios, where appropriate</w:t>
                            </w:r>
                          </w:p>
                          <w:p w:rsidR="00C25AF0" w:rsidRPr="00C25AF0" w:rsidRDefault="00175FA0" w:rsidP="00665E99">
                            <w:pPr>
                              <w:pStyle w:val="ListParagraph"/>
                              <w:numPr>
                                <w:ilvl w:val="0"/>
                                <w:numId w:val="29"/>
                              </w:numPr>
                              <w:jc w:val="left"/>
                              <w:rPr>
                                <w:color w:val="000000" w:themeColor="text1"/>
                              </w:rPr>
                            </w:pPr>
                            <w:r>
                              <w:rPr>
                                <w:color w:val="000000" w:themeColor="text1"/>
                              </w:rPr>
                              <w:t>Material off-</w:t>
                            </w:r>
                            <w:r w:rsidR="00C06F90" w:rsidRPr="00C06F90">
                              <w:rPr>
                                <w:color w:val="000000" w:themeColor="text1"/>
                              </w:rPr>
                              <w:t>balance sheet items should be disclosed in the BEPP, with an indication of the benefits and risks, if applicable, of such arrangements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3B86616B" id="Rounded Rectangle 109" o:spid="_x0000_s1032" style="position:absolute;left:0;text-align:left;margin-left:0;margin-top:19.3pt;width:472.5pt;height:218.2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" fillcolor="#fabf8f [1945]" strokecolor="#974706 [1609]" strokeweight="2pt">
                <v:textbo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OFF-BALANCE SHEET ARRANGEMENTS</w:t>
                      </w:r>
                      <w:r>
                        <w:rPr>
                          <w:color w:val="000000" w:themeColor="text1"/>
                        </w:rPr>
                        <w:t>:</w:t>
                      </w:r>
                    </w:p>
                    <w:p w:rsidR="00C25AF0" w:rsidRPr="00C25AF0" w:rsidRDefault="00175FA0" w:rsidP="00665E99">
                      <w:pPr>
                        <w:pStyle w:val="ListParagraph"/>
                        <w:numPr>
                          <w:ilvl w:val="0"/>
                          <w:numId w:val="29"/>
                        </w:numPr>
                        <w:jc w:val="left"/>
                        <w:rPr>
                          <w:color w:val="000000" w:themeColor="text1"/>
                        </w:rPr>
                      </w:pPr>
                      <w:r>
                        <w:rPr>
                          <w:color w:val="000000" w:themeColor="text1"/>
                        </w:rPr>
                        <w:t>Metros should disclose off-</w:t>
                      </w:r>
                      <w:r w:rsidR="00C25AF0" w:rsidRPr="00C25AF0">
                        <w:rPr>
                          <w:color w:val="000000" w:themeColor="text1"/>
                        </w:rPr>
                        <w:t xml:space="preserve">balance sheet arrangements under the following conditions: </w:t>
                      </w:r>
                    </w:p>
                    <w:p w:rsidR="00C25AF0" w:rsidRPr="00C25AF0" w:rsidRDefault="00C25AF0" w:rsidP="00665E99">
                      <w:pPr>
                        <w:pStyle w:val="ListParagraph"/>
                        <w:numPr>
                          <w:ilvl w:val="1"/>
                          <w:numId w:val="29"/>
                        </w:numPr>
                        <w:jc w:val="left"/>
                        <w:rPr>
                          <w:color w:val="000000" w:themeColor="text1"/>
                        </w:rPr>
                      </w:pPr>
                      <w:r w:rsidRPr="00C25AF0">
                        <w:rPr>
                          <w:color w:val="000000" w:themeColor="text1"/>
                        </w:rPr>
                        <w:t>the risks or benefits arising from arrangements are material;</w:t>
                      </w:r>
                    </w:p>
                    <w:p w:rsidR="009B4204" w:rsidRPr="00C25AF0" w:rsidRDefault="00C25AF0" w:rsidP="00665E99">
                      <w:pPr>
                        <w:pStyle w:val="ListParagraph"/>
                        <w:numPr>
                          <w:ilvl w:val="1"/>
                          <w:numId w:val="29"/>
                        </w:numPr>
                        <w:jc w:val="left"/>
                        <w:rPr>
                          <w:b/>
                          <w:color w:val="000000" w:themeColor="text1"/>
                        </w:rPr>
                      </w:pPr>
                      <w:r w:rsidRPr="00C25AF0">
                        <w:rPr>
                          <w:color w:val="000000" w:themeColor="text1"/>
                        </w:rPr>
                        <w:t>only to the extent necessary for enabling the financial position of the company to</w:t>
                      </w:r>
                      <w:r>
                        <w:rPr>
                          <w:color w:val="000000" w:themeColor="text1"/>
                        </w:rPr>
                        <w:t xml:space="preserve"> </w:t>
                      </w:r>
                      <w:r w:rsidRPr="00C25AF0">
                        <w:rPr>
                          <w:color w:val="000000" w:themeColor="text1"/>
                        </w:rPr>
                        <w:t>be assessed, particularly by potential investors</w:t>
                      </w:r>
                    </w:p>
                    <w:p w:rsidR="00C25AF0" w:rsidRDefault="00C25AF0" w:rsidP="00665E99">
                      <w:pPr>
                        <w:pStyle w:val="ListParagraph"/>
                        <w:numPr>
                          <w:ilvl w:val="0"/>
                          <w:numId w:val="29"/>
                        </w:numPr>
                        <w:jc w:val="left"/>
                        <w:rPr>
                          <w:color w:val="000000" w:themeColor="text1"/>
                        </w:rPr>
                      </w:pPr>
                      <w:r w:rsidRPr="00C25AF0">
                        <w:rPr>
                          <w:color w:val="000000" w:themeColor="text1"/>
                        </w:rPr>
                        <w:t>Metros should factor the potential impact of these arrangements into the calculations of their financial ratios, where appropriate</w:t>
                      </w:r>
                    </w:p>
                    <w:p w:rsidR="00C25AF0" w:rsidRPr="00C25AF0" w:rsidRDefault="00175FA0" w:rsidP="00665E99">
                      <w:pPr>
                        <w:pStyle w:val="ListParagraph"/>
                        <w:numPr>
                          <w:ilvl w:val="0"/>
                          <w:numId w:val="29"/>
                        </w:numPr>
                        <w:jc w:val="left"/>
                        <w:rPr>
                          <w:color w:val="000000" w:themeColor="text1"/>
                        </w:rPr>
                      </w:pPr>
                      <w:r>
                        <w:rPr>
                          <w:color w:val="000000" w:themeColor="text1"/>
                        </w:rPr>
                        <w:t>Material off-</w:t>
                      </w:r>
                      <w:r w:rsidR="00C06F90" w:rsidRPr="00C06F90">
                        <w:rPr>
                          <w:color w:val="000000" w:themeColor="text1"/>
                        </w:rPr>
                        <w:t>balance sheet items should be disclosed in the BEPP, with an indication of the benefits and risks, if applicable, of such arrangements</w:t>
                      </w:r>
                    </w:p>
                  </w:txbxContent>
                </v:textbox>
                <w10:wrap type="square" anchorx="margin"/>
              </v:roundrect>
            </w:pict>
          </mc:Fallback>
        </mc:AlternateContent>
      </w:r>
    </w:p>
    <w:p w:rsidR="00B63000" w:rsidRDefault="00B63000">
      <w:pPr>
        <w:spacing w:after="200" w:line="276" w:lineRule="auto"/>
        <w:jc w:val="left"/>
      </w:pPr>
      <w:r>
        <w:br w:type="page"/>
      </w:r>
    </w:p>
    <w:bookmarkStart w:id="26" w:name="_Toc455995481"/>
    <w:p w:rsidR="005F3DF7" w:rsidRDefault="00E229A7" w:rsidP="00665E99">
      <w:pPr>
        <w:pStyle w:val="Heading3"/>
        <w:numPr>
          <w:ilvl w:val="1"/>
          <w:numId w:val="27"/>
        </w:numPr>
      </w:pPr>
      <w:r>
        <w:rPr>
          <w:noProof/>
          <w:lang w:eastAsia="en-ZA"/>
        </w:rPr>
        <w:lastRenderedPageBreak/>
        <mc:AlternateContent>
          <mc:Choice Requires="wps">
            <w:drawing>
              <wp:anchor distT="0" distB="0" distL="114300" distR="114300" simplePos="0" relativeHeight="251660288" behindDoc="0" locked="0" layoutInCell="1" allowOverlap="1" wp14:anchorId="0E0F6947" wp14:editId="00467D06">
                <wp:simplePos x="0" y="0"/>
                <wp:positionH relativeFrom="margin">
                  <wp:posOffset>-1270</wp:posOffset>
                </wp:positionH>
                <wp:positionV relativeFrom="paragraph">
                  <wp:posOffset>574040</wp:posOffset>
                </wp:positionV>
                <wp:extent cx="5876925" cy="609600"/>
                <wp:effectExtent l="0" t="0" r="28575" b="19050"/>
                <wp:wrapSquare wrapText="bothSides"/>
                <wp:docPr id="71" name="Rounded Rectangle 71"/>
                <wp:cNvGraphicFramePr/>
                <a:graphic xmlns:a="http://schemas.openxmlformats.org/drawingml/2006/main">
                  <a:graphicData uri="http://schemas.microsoft.com/office/word/2010/wordprocessingShape">
                    <wps:wsp>
                      <wps:cNvSpPr/>
                      <wps:spPr>
                        <a:xfrm>
                          <a:off x="0" y="0"/>
                          <a:ext cx="5876925" cy="60960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A716A" w:rsidRPr="00034E30" w:rsidRDefault="000A716A" w:rsidP="00034E30">
                            <w:pPr>
                              <w:jc w:val="center"/>
                              <w:rPr>
                                <w:b/>
                                <w:color w:val="000000" w:themeColor="text1"/>
                              </w:rPr>
                            </w:pPr>
                            <w:r w:rsidRPr="00034E30">
                              <w:rPr>
                                <w:b/>
                                <w:color w:val="000000" w:themeColor="text1"/>
                              </w:rPr>
                              <w:t>The Preamble which follows is an extract from the 2015/16 BEPP Evaluation Report and is included here for ease of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0E0F6947" id="Rounded Rectangle 71" o:spid="_x0000_s1033" style="position:absolute;left:0;text-align:left;margin-left:-.1pt;margin-top:45.2pt;width:462.75pt;height:4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" fillcolor="#d8d8d8 [2732]" strokecolor="#7f7f7f [1612]" strokeweight="2pt">
                <v:textbox>
                  <w:txbxContent>
                    <w:p w:rsidR="000A716A" w:rsidRPr="00034E30" w:rsidRDefault="000A716A" w:rsidP="00034E30">
                      <w:pPr>
                        <w:jc w:val="center"/>
                        <w:rPr>
                          <w:b/>
                          <w:color w:val="000000" w:themeColor="text1"/>
                        </w:rPr>
                      </w:pPr>
                      <w:r w:rsidRPr="00034E30">
                        <w:rPr>
                          <w:b/>
                          <w:color w:val="000000" w:themeColor="text1"/>
                        </w:rPr>
                        <w:t>The Preamble which follows is an extract from the 2015/16 BEPP Evaluation Report and is included here for ease of reference</w:t>
                      </w:r>
                    </w:p>
                  </w:txbxContent>
                </v:textbox>
                <w10:wrap type="square" anchorx="margin"/>
              </v:roundrect>
            </w:pict>
          </mc:Fallback>
        </mc:AlternateContent>
      </w:r>
      <w:r w:rsidR="008B775B">
        <w:t>Project Pipeline Funding</w:t>
      </w:r>
      <w:bookmarkEnd w:id="26"/>
    </w:p>
    <w:p w:rsidR="00E229A7" w:rsidRPr="00E229A7" w:rsidRDefault="00E229A7" w:rsidP="00E229A7"/>
    <w:p w:rsidR="00701718" w:rsidRDefault="00E229A7" w:rsidP="00665E99">
      <w:pPr>
        <w:pStyle w:val="Heading3"/>
        <w:numPr>
          <w:ilvl w:val="2"/>
          <w:numId w:val="27"/>
        </w:numPr>
      </w:pPr>
      <w:bookmarkStart w:id="27" w:name="_Toc455995482"/>
      <w:r>
        <w:t>D</w:t>
      </w:r>
      <w:r w:rsidR="00701718" w:rsidRPr="001A489F">
        <w:t>evelop</w:t>
      </w:r>
      <w:r>
        <w:t>ment of</w:t>
      </w:r>
      <w:r w:rsidR="00701718" w:rsidRPr="001A489F">
        <w:t xml:space="preserve"> a Comprehensive Funding Plan</w:t>
      </w:r>
      <w:bookmarkEnd w:id="27"/>
    </w:p>
    <w:p w:rsidR="00701718" w:rsidRDefault="00701718" w:rsidP="00701718">
      <w:r>
        <w:t>Once a municipality has identified its capital projects and developed a reasonably clear and affordable capital investment plan, it should be tested against the potential funding sources and funding structures, to determine the most appropriate funding strategy. The capital investment plan should not be finalised until its funding implications have been tested and found acceptable.</w:t>
      </w:r>
    </w:p>
    <w:p w:rsidR="00701718" w:rsidRDefault="00701718" w:rsidP="00701718"/>
    <w:p w:rsidR="00701718" w:rsidRDefault="00701718" w:rsidP="00701718">
      <w:r>
        <w:t>For example, the relationship between the structure of the debt and the timing of capital projects is an important matter. The municipality must have funds available when required but should receive a loan, on which interest is paid, which then sits idle in the municipal bank account. The funding plan should be that the capital programme is never without funds, but without incurring any such `negative arbitrage’.</w:t>
      </w:r>
    </w:p>
    <w:p w:rsidR="00701718" w:rsidRDefault="00701718" w:rsidP="00701718"/>
    <w:p w:rsidR="00701718" w:rsidRDefault="00701718" w:rsidP="00701718">
      <w:r>
        <w:t>It is recommended that the metros follow the process below to develop their funding plan, which should therefore fit into the planning and budgeting cycle and should not be seen as an afterthought.</w:t>
      </w:r>
    </w:p>
    <w:p w:rsidR="00701718" w:rsidRDefault="00701718" w:rsidP="00701718"/>
    <w:p w:rsidR="00701718" w:rsidRDefault="00701718" w:rsidP="00701718">
      <w:pPr>
        <w:jc w:val="center"/>
      </w:pPr>
      <w:r>
        <w:rPr>
          <w:noProof/>
          <w:lang w:eastAsia="en-ZA"/>
        </w:rPr>
        <w:lastRenderedPageBreak/>
        <w:drawing>
          <wp:inline distT="0" distB="0" distL="0" distR="0" wp14:anchorId="2B36F372" wp14:editId="762632F4">
            <wp:extent cx="5895975" cy="48101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7952" cy="4836213"/>
                    </a:xfrm>
                    <a:prstGeom prst="rect">
                      <a:avLst/>
                    </a:prstGeom>
                    <a:ln>
                      <a:solidFill>
                        <a:schemeClr val="accent6">
                          <a:lumMod val="75000"/>
                        </a:schemeClr>
                      </a:solidFill>
                    </a:ln>
                  </pic:spPr>
                </pic:pic>
              </a:graphicData>
            </a:graphic>
          </wp:inline>
        </w:drawing>
      </w:r>
    </w:p>
    <w:p w:rsidR="00C06F90" w:rsidRDefault="00C06F90" w:rsidP="00701718">
      <w:pPr>
        <w:jc w:val="left"/>
      </w:pPr>
    </w:p>
    <w:p w:rsidR="00701718" w:rsidRPr="00774397" w:rsidRDefault="00701718" w:rsidP="00701718">
      <w:pPr>
        <w:jc w:val="left"/>
      </w:pPr>
      <w:r>
        <w:t>The comprehensive funding plan should address all of the following components:</w:t>
      </w:r>
    </w:p>
    <w:p w:rsidR="00701718" w:rsidRPr="00C46817" w:rsidRDefault="00701718" w:rsidP="00701718">
      <w:r>
        <w:rPr>
          <w:noProof/>
          <w:lang w:eastAsia="en-ZA"/>
        </w:rPr>
        <w:drawing>
          <wp:inline distT="0" distB="0" distL="0" distR="0" wp14:anchorId="327DC15D" wp14:editId="1D6FD70B">
            <wp:extent cx="6057900" cy="3067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7900" cy="3067050"/>
                    </a:xfrm>
                    <a:prstGeom prst="rect">
                      <a:avLst/>
                    </a:prstGeom>
                    <a:noFill/>
                  </pic:spPr>
                </pic:pic>
              </a:graphicData>
            </a:graphic>
          </wp:inline>
        </w:drawing>
      </w:r>
    </w:p>
    <w:p w:rsidR="00701718" w:rsidRDefault="00701718" w:rsidP="00701718">
      <w:r>
        <w:t xml:space="preserve">The sources of funding </w:t>
      </w:r>
      <w:r w:rsidR="00C06F90">
        <w:t>are</w:t>
      </w:r>
      <w:r>
        <w:t xml:space="preserve"> discussed in further detail in the following section.</w:t>
      </w:r>
    </w:p>
    <w:p w:rsidR="00701718" w:rsidRDefault="00701718" w:rsidP="00665E99">
      <w:pPr>
        <w:pStyle w:val="Heading3"/>
        <w:numPr>
          <w:ilvl w:val="2"/>
          <w:numId w:val="27"/>
        </w:numPr>
      </w:pPr>
      <w:bookmarkStart w:id="28" w:name="_Toc455995483"/>
      <w:r w:rsidRPr="001A489F">
        <w:lastRenderedPageBreak/>
        <w:t>Innovative Solutions to Funding Requirements</w:t>
      </w:r>
      <w:bookmarkEnd w:id="28"/>
    </w:p>
    <w:p w:rsidR="00701718" w:rsidRDefault="00701718" w:rsidP="00665E99">
      <w:pPr>
        <w:pStyle w:val="Heading3"/>
        <w:numPr>
          <w:ilvl w:val="0"/>
          <w:numId w:val="36"/>
        </w:numPr>
      </w:pPr>
      <w:bookmarkStart w:id="29" w:name="_Toc455995484"/>
      <w:r>
        <w:t>Private Sector Partnerships</w:t>
      </w:r>
      <w:bookmarkEnd w:id="29"/>
    </w:p>
    <w:p w:rsidR="00701718" w:rsidRDefault="00701718" w:rsidP="00701718">
      <w:r>
        <w:t xml:space="preserve">The Private Sector has an important role to play in managing service delivery, investing in service delivery companies and in financing infrastructure investments. The possibilities offered through innovative arrangements which could bring the private sector into these functions, should be explored. </w:t>
      </w:r>
    </w:p>
    <w:p w:rsidR="00701718" w:rsidRDefault="00701718" w:rsidP="00701718"/>
    <w:p w:rsidR="00701718" w:rsidRDefault="00701718" w:rsidP="00701718">
      <w:r>
        <w:t>The metros should be firmly committed to a partnership approach to development. Public-private sector partnerships represent in important union for more effective service delivery. These partnerships may take many forms and should not be confined to the private sector simply being represented on fora, committees and commissions or tendering for certain contracts. In terms of service delivery, a range of creative partnerships can be established to the mutual benefit of both parties and the consumer. Partnerships can be formed to manage and administer certain services on behalf of the Local Authority, to invest in service delivery companies (often jointly with overseas investors) or to finance infrastructure investments. Such arrangements could vary between corporatisation of local government departments into independent, business units, service contracts, lease arrangements, "build-operate-transfer (BOT)", "build-operate-own (BOO)" arrangements through to full-scale privatisation. Not all these options will be viable everywhere - at least not in the short-term and possibly not even in the long-term. Care must therefore be taken to ensure that the choice of delivery mechanisms does not effectively curb the ability to deliver. The choice of a particular option requires careful consideration by a local authority as a number of factors and influences need to be weighed up.</w:t>
      </w:r>
    </w:p>
    <w:p w:rsidR="00701718" w:rsidRDefault="00701718" w:rsidP="00701718"/>
    <w:p w:rsidR="00701718" w:rsidRDefault="00701718" w:rsidP="00701718">
      <w:r>
        <w:t>In exploring public/private delivery options, metros should apply the following criteria:</w:t>
      </w:r>
    </w:p>
    <w:p w:rsidR="00701718" w:rsidRDefault="00701718" w:rsidP="00665E99">
      <w:pPr>
        <w:pStyle w:val="ListParagraph"/>
        <w:numPr>
          <w:ilvl w:val="0"/>
          <w:numId w:val="19"/>
        </w:numPr>
      </w:pPr>
      <w:r>
        <w:t>Efficiency;</w:t>
      </w:r>
    </w:p>
    <w:p w:rsidR="00701718" w:rsidRDefault="00701718" w:rsidP="00665E99">
      <w:pPr>
        <w:pStyle w:val="ListParagraph"/>
        <w:numPr>
          <w:ilvl w:val="0"/>
          <w:numId w:val="19"/>
        </w:numPr>
      </w:pPr>
      <w:r>
        <w:t>Equity;</w:t>
      </w:r>
    </w:p>
    <w:p w:rsidR="00701718" w:rsidRDefault="00701718" w:rsidP="00665E99">
      <w:pPr>
        <w:pStyle w:val="ListParagraph"/>
        <w:numPr>
          <w:ilvl w:val="0"/>
          <w:numId w:val="19"/>
        </w:numPr>
      </w:pPr>
      <w:r>
        <w:t>Cost-effectiveness;</w:t>
      </w:r>
    </w:p>
    <w:p w:rsidR="00701718" w:rsidRDefault="00701718" w:rsidP="00665E99">
      <w:pPr>
        <w:pStyle w:val="ListParagraph"/>
        <w:numPr>
          <w:ilvl w:val="0"/>
          <w:numId w:val="19"/>
        </w:numPr>
      </w:pPr>
      <w:r>
        <w:t>Leverage of private investment;</w:t>
      </w:r>
    </w:p>
    <w:p w:rsidR="00701718" w:rsidRDefault="00701718" w:rsidP="00665E99">
      <w:pPr>
        <w:pStyle w:val="ListParagraph"/>
        <w:numPr>
          <w:ilvl w:val="0"/>
          <w:numId w:val="19"/>
        </w:numPr>
      </w:pPr>
      <w:r>
        <w:t>Growth multiplier;</w:t>
      </w:r>
    </w:p>
    <w:p w:rsidR="00701718" w:rsidRDefault="00701718" w:rsidP="00665E99">
      <w:pPr>
        <w:pStyle w:val="ListParagraph"/>
        <w:numPr>
          <w:ilvl w:val="0"/>
          <w:numId w:val="19"/>
        </w:numPr>
      </w:pPr>
      <w:r>
        <w:t>Job creation; and</w:t>
      </w:r>
    </w:p>
    <w:p w:rsidR="00701718" w:rsidRDefault="00701718" w:rsidP="00665E99">
      <w:pPr>
        <w:pStyle w:val="ListParagraph"/>
        <w:numPr>
          <w:ilvl w:val="0"/>
          <w:numId w:val="19"/>
        </w:numPr>
      </w:pPr>
      <w:r>
        <w:t>Opportunities for entrepreneurs</w:t>
      </w:r>
    </w:p>
    <w:p w:rsidR="00701718" w:rsidRDefault="00701718" w:rsidP="00701718"/>
    <w:p w:rsidR="00701718" w:rsidRDefault="00701718" w:rsidP="00701718">
      <w:pPr>
        <w:rPr>
          <w:lang w:val="en-US"/>
        </w:rPr>
      </w:pPr>
      <w:r>
        <w:rPr>
          <w:lang w:val="en-US"/>
        </w:rPr>
        <w:t xml:space="preserve">Metros do not have to </w:t>
      </w:r>
      <w:r w:rsidRPr="00516E80">
        <w:rPr>
          <w:lang w:val="en-US"/>
        </w:rPr>
        <w:t xml:space="preserve">adopt a rigid position either in favour of or in opposition to privatisation. The aim is rather a pragmatic and realistic approach to allow for innovative delivery - in the </w:t>
      </w:r>
      <w:r w:rsidRPr="00516E80">
        <w:rPr>
          <w:lang w:val="en-US"/>
        </w:rPr>
        <w:lastRenderedPageBreak/>
        <w:t xml:space="preserve">belief that the </w:t>
      </w:r>
      <w:r>
        <w:rPr>
          <w:lang w:val="en-US"/>
        </w:rPr>
        <w:t xml:space="preserve">metro </w:t>
      </w:r>
      <w:r w:rsidRPr="00516E80">
        <w:rPr>
          <w:lang w:val="en-US"/>
        </w:rPr>
        <w:t xml:space="preserve">should never be seen as the sole provider of services. The public sector should seek practical ways to make this possible. </w:t>
      </w:r>
    </w:p>
    <w:p w:rsidR="00701718" w:rsidRDefault="00701718" w:rsidP="00701718">
      <w:pPr>
        <w:rPr>
          <w:lang w:val="en-US"/>
        </w:rPr>
      </w:pPr>
    </w:p>
    <w:p w:rsidR="00701718" w:rsidRDefault="00701718" w:rsidP="00701718">
      <w:pPr>
        <w:tabs>
          <w:tab w:val="num" w:pos="1080"/>
        </w:tabs>
        <w:rPr>
          <w:lang w:val="en-US"/>
        </w:rPr>
      </w:pPr>
      <w:r>
        <w:rPr>
          <w:lang w:val="en-US"/>
        </w:rPr>
        <w:t>Metros can explore the following options for service delivery:</w:t>
      </w:r>
    </w:p>
    <w:p w:rsidR="00701718" w:rsidRPr="00230F3C" w:rsidRDefault="00701718" w:rsidP="00665E99">
      <w:pPr>
        <w:pStyle w:val="ListParagraph"/>
        <w:numPr>
          <w:ilvl w:val="0"/>
          <w:numId w:val="20"/>
        </w:numPr>
        <w:tabs>
          <w:tab w:val="num" w:pos="1080"/>
        </w:tabs>
        <w:rPr>
          <w:lang w:val="en-US"/>
        </w:rPr>
      </w:pPr>
      <w:r>
        <w:rPr>
          <w:lang w:val="en-US"/>
        </w:rPr>
        <w:t>Public ownership and public operation</w:t>
      </w:r>
    </w:p>
    <w:p w:rsidR="00701718" w:rsidRDefault="00701718" w:rsidP="00665E99">
      <w:pPr>
        <w:pStyle w:val="ListParagraph"/>
        <w:numPr>
          <w:ilvl w:val="0"/>
          <w:numId w:val="19"/>
        </w:numPr>
      </w:pPr>
      <w:r>
        <w:t>Public ownership &amp; operations/ private design and build</w:t>
      </w:r>
    </w:p>
    <w:p w:rsidR="00701718" w:rsidRDefault="00701718" w:rsidP="00665E99">
      <w:pPr>
        <w:pStyle w:val="ListParagraph"/>
        <w:numPr>
          <w:ilvl w:val="0"/>
          <w:numId w:val="19"/>
        </w:numPr>
      </w:pPr>
      <w:r>
        <w:t>Public ownership/ private management contract</w:t>
      </w:r>
    </w:p>
    <w:p w:rsidR="00701718" w:rsidRDefault="00701718" w:rsidP="00665E99">
      <w:pPr>
        <w:pStyle w:val="ListParagraph"/>
        <w:numPr>
          <w:ilvl w:val="0"/>
          <w:numId w:val="19"/>
        </w:numPr>
      </w:pPr>
      <w:r>
        <w:t>Public-private joint venture (JV)</w:t>
      </w:r>
    </w:p>
    <w:p w:rsidR="00701718" w:rsidRDefault="00701718" w:rsidP="00665E99">
      <w:pPr>
        <w:pStyle w:val="ListParagraph"/>
        <w:numPr>
          <w:ilvl w:val="0"/>
          <w:numId w:val="19"/>
        </w:numPr>
      </w:pPr>
      <w:r>
        <w:t>Private concession/ trade sale (long-term lease)</w:t>
      </w:r>
    </w:p>
    <w:p w:rsidR="00701718" w:rsidRDefault="00701718" w:rsidP="00665E99">
      <w:pPr>
        <w:pStyle w:val="ListParagraph"/>
        <w:numPr>
          <w:ilvl w:val="0"/>
          <w:numId w:val="19"/>
        </w:numPr>
      </w:pPr>
      <w:r>
        <w:t>Full sale of asset/ private ownership</w:t>
      </w:r>
    </w:p>
    <w:p w:rsidR="00701718" w:rsidRPr="00CE43E8" w:rsidRDefault="00701718" w:rsidP="00701718"/>
    <w:p w:rsidR="00701718" w:rsidRDefault="00701718" w:rsidP="00701718">
      <w:pPr>
        <w:rPr>
          <w:lang w:val="en-US"/>
        </w:rPr>
      </w:pPr>
      <w:r w:rsidRPr="00D95339">
        <w:rPr>
          <w:lang w:val="en-US"/>
        </w:rPr>
        <w:t xml:space="preserve">In this way, the notion of partnership will assume real meaning. If the public and private sectors mutually seek creative ways to work together and to bring their respective strengths to the delivery and development processes, efficient allocation of resources and maximum benefit to specific urban communities will become more achievable. It will furthermore be essential to build such partnerships around effective community and labour participation as well. This will facilitate greater consensus on local priorities as well as greater satisfaction. Through joint effort, planning and monitoring mechanisms will be developed which will enhance the prospects of having satisfied consumers and consumer orientated deliverers. </w:t>
      </w:r>
    </w:p>
    <w:p w:rsidR="00701718" w:rsidRPr="00D95339" w:rsidRDefault="00701718" w:rsidP="00701718">
      <w:pPr>
        <w:rPr>
          <w:lang w:val="en-US"/>
        </w:rPr>
      </w:pPr>
    </w:p>
    <w:p w:rsidR="00701718" w:rsidRPr="00D95339" w:rsidRDefault="00701718" w:rsidP="00701718">
      <w:pPr>
        <w:rPr>
          <w:lang w:val="en-US"/>
        </w:rPr>
      </w:pPr>
      <w:r w:rsidRPr="00D95339">
        <w:rPr>
          <w:lang w:val="en-US"/>
        </w:rPr>
        <w:t xml:space="preserve">There can be no uniform model for such partnerships; local role players will have to develop their own means to secure a partnership culture of local development which would be sustainable in their communities. </w:t>
      </w:r>
      <w:r>
        <w:rPr>
          <w:lang w:val="en-US"/>
        </w:rPr>
        <w:t>P</w:t>
      </w:r>
      <w:r w:rsidRPr="00D95339">
        <w:rPr>
          <w:lang w:val="en-US"/>
        </w:rPr>
        <w:t>ublic and private sector institutions at the national</w:t>
      </w:r>
      <w:r>
        <w:rPr>
          <w:lang w:val="en-US"/>
        </w:rPr>
        <w:t xml:space="preserve">, </w:t>
      </w:r>
      <w:r w:rsidRPr="00D95339">
        <w:rPr>
          <w:lang w:val="en-US"/>
        </w:rPr>
        <w:t xml:space="preserve">provincial </w:t>
      </w:r>
      <w:r>
        <w:rPr>
          <w:lang w:val="en-US"/>
        </w:rPr>
        <w:t xml:space="preserve">and metro </w:t>
      </w:r>
      <w:r w:rsidRPr="00D95339">
        <w:rPr>
          <w:lang w:val="en-US"/>
        </w:rPr>
        <w:t>levels will have to seek areas for effec</w:t>
      </w:r>
      <w:r>
        <w:rPr>
          <w:lang w:val="en-US"/>
        </w:rPr>
        <w:t xml:space="preserve">tive cooperation to strengthen </w:t>
      </w:r>
      <w:r w:rsidRPr="00D95339">
        <w:rPr>
          <w:lang w:val="en-US"/>
        </w:rPr>
        <w:t>an environment</w:t>
      </w:r>
      <w:r>
        <w:rPr>
          <w:lang w:val="en-US"/>
        </w:rPr>
        <w:t xml:space="preserve"> conducive to such partnerships</w:t>
      </w:r>
      <w:r w:rsidRPr="00D95339">
        <w:rPr>
          <w:lang w:val="en-US"/>
        </w:rPr>
        <w:t>.</w:t>
      </w:r>
    </w:p>
    <w:p w:rsidR="00701718" w:rsidRDefault="00701718" w:rsidP="00665E99">
      <w:pPr>
        <w:pStyle w:val="Heading3"/>
        <w:numPr>
          <w:ilvl w:val="0"/>
          <w:numId w:val="36"/>
        </w:numPr>
      </w:pPr>
      <w:bookmarkStart w:id="30" w:name="_Toc455995485"/>
      <w:r>
        <w:t>PPP Feasibility Study</w:t>
      </w:r>
      <w:bookmarkEnd w:id="30"/>
      <w:r>
        <w:t xml:space="preserve"> </w:t>
      </w:r>
    </w:p>
    <w:p w:rsidR="00701718" w:rsidRDefault="00701718" w:rsidP="00701718">
      <w:r>
        <w:t xml:space="preserve">To decide whether a proposed PPP is in the best interests of government, Treasury Regulation 16 to the Public Finance Management Act (PFMA) requires the head of the relevant department or public entity to do a thorough feasibility study. Bidding documents may not be issued to the market unless Treasury has approved this study. </w:t>
      </w:r>
      <w:r w:rsidR="00B63000">
        <w:t xml:space="preserve">National Treasury’s PPP Unit </w:t>
      </w:r>
      <w:r>
        <w:t xml:space="preserve">has developed guidance on how to do project feasibility studies. </w:t>
      </w:r>
    </w:p>
    <w:p w:rsidR="00701718" w:rsidRDefault="00701718" w:rsidP="00701718"/>
    <w:p w:rsidR="00701718" w:rsidRDefault="00701718" w:rsidP="00B63000">
      <w:pPr>
        <w:keepNext/>
      </w:pPr>
      <w:r>
        <w:lastRenderedPageBreak/>
        <w:t>The key steps in the process are illustrated in the following figure:</w:t>
      </w:r>
    </w:p>
    <w:p w:rsidR="00701718" w:rsidRDefault="00701718" w:rsidP="00B63000">
      <w:pPr>
        <w:keepNext/>
      </w:pPr>
      <w:r>
        <w:rPr>
          <w:noProof/>
          <w:lang w:eastAsia="en-ZA"/>
        </w:rPr>
        <w:drawing>
          <wp:inline distT="0" distB="0" distL="0" distR="0" wp14:anchorId="669974B2" wp14:editId="281EB73E">
            <wp:extent cx="5715000" cy="3784322"/>
            <wp:effectExtent l="133350" t="114300" r="133350" b="1593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4888" cy="3797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01718" w:rsidRDefault="00701718" w:rsidP="00665E99">
      <w:pPr>
        <w:pStyle w:val="ListParagraph"/>
        <w:keepNext/>
        <w:numPr>
          <w:ilvl w:val="0"/>
          <w:numId w:val="21"/>
        </w:numPr>
      </w:pPr>
      <w:r>
        <w:t xml:space="preserve">The identification and prioritisation of </w:t>
      </w:r>
      <w:r w:rsidRPr="00A31B9F">
        <w:rPr>
          <w:b/>
        </w:rPr>
        <w:t>needs</w:t>
      </w:r>
      <w:r>
        <w:t xml:space="preserve"> is the first stage. Here, the government institution must clarify its objectives, find budgets for the required services and/or infrastructure, analyse institutional and stakeholder factors, and then specify the outputs that the project wants to achieve. Getting the output specification right is key. It requires that government decides what it wants to achieve, not how it wants to achieve it. These outputs are costed later in the feasibility study models and are cornerstones of the project.</w:t>
      </w:r>
    </w:p>
    <w:p w:rsidR="00701718" w:rsidRDefault="00701718" w:rsidP="00665E99">
      <w:pPr>
        <w:pStyle w:val="ListParagraph"/>
        <w:numPr>
          <w:ilvl w:val="0"/>
          <w:numId w:val="21"/>
        </w:numPr>
      </w:pPr>
      <w:r>
        <w:t>The options analysis stage enables the institution to explore a range of possible technical, legal and financial options for delivering the required service to the output specifications. A PPP is not itself an ‘option’ – rather, it may be a procurement choice for a preferred option. For example, a department needs a new head office. Its options may be three: to refurbish its existing building, or to rent another building, or to build a new one. The refurbishment and new build options could be achieved either by conventional procurement or via a PPP. However, the procurement choice is only made later in the feasibility study in the value-for-money assessment.</w:t>
      </w:r>
    </w:p>
    <w:p w:rsidR="00701718" w:rsidRDefault="00701718" w:rsidP="00665E99">
      <w:pPr>
        <w:pStyle w:val="ListParagraph"/>
        <w:numPr>
          <w:ilvl w:val="0"/>
          <w:numId w:val="21"/>
        </w:numPr>
      </w:pPr>
      <w:r>
        <w:t>A thorough due diligence undertaking is stage three, in which all legal, project site, socio-economic and black economic empowerment (BEE) matters are investigated by the government institution to uncover anything that may impact on the project.</w:t>
      </w:r>
    </w:p>
    <w:p w:rsidR="00701718" w:rsidRDefault="00701718" w:rsidP="00665E99">
      <w:pPr>
        <w:pStyle w:val="ListParagraph"/>
        <w:numPr>
          <w:ilvl w:val="0"/>
          <w:numId w:val="21"/>
        </w:numPr>
      </w:pPr>
      <w:r>
        <w:lastRenderedPageBreak/>
        <w:t>Stage four is pivotal in the feasibility study. It enables the metro to determine the best procurement choice for the project (PPP or other), using the three regulatory tests of affordability, value-for-money and risk transfer. PPP guidelines provides detailed guidance on how to construct these models, each of which must be risk-adjusted and calculated as a net present value. Risk is a central factor impacting on the value-for-money conclusions of this comparison, and a comprehensive risk matrix is required. Affordability remains the driving determinant of feasibility, and if this cannot be demonstrated, the institution must either adjust its output specifications or abandon the project. PPP types, BEE targets, project structure and sources of funding, and PPP payment mechanisms are all proposed at this stage.</w:t>
      </w:r>
    </w:p>
    <w:p w:rsidR="00701718" w:rsidRDefault="00701718" w:rsidP="00665E99">
      <w:pPr>
        <w:pStyle w:val="ListParagraph"/>
        <w:numPr>
          <w:ilvl w:val="0"/>
          <w:numId w:val="21"/>
        </w:numPr>
      </w:pPr>
      <w:r>
        <w:t>Once the procurement choice conclusions are reached and the information verified, the study can move to stage five, an economic valuation, using established micro-economic techniques.</w:t>
      </w:r>
    </w:p>
    <w:p w:rsidR="00701718" w:rsidRDefault="00701718" w:rsidP="00665E99">
      <w:pPr>
        <w:pStyle w:val="ListParagraph"/>
        <w:numPr>
          <w:ilvl w:val="0"/>
          <w:numId w:val="21"/>
        </w:numPr>
      </w:pPr>
      <w:r>
        <w:t>Stage six is the finalisation of a procurement and implementation plan that will demonstrate that the institution has the capacity and budget to undertake the project as envisaged.</w:t>
      </w:r>
    </w:p>
    <w:p w:rsidR="00701718" w:rsidRDefault="00701718" w:rsidP="00665E99">
      <w:pPr>
        <w:pStyle w:val="ListParagraph"/>
        <w:numPr>
          <w:ilvl w:val="0"/>
          <w:numId w:val="21"/>
        </w:numPr>
      </w:pPr>
      <w:r>
        <w:t>A final feasibility study report is then compiled for submission to Treasury in the prescribed format, ensuring that the case for the project is comprehensively argued and that conclusions are justified.</w:t>
      </w:r>
    </w:p>
    <w:p w:rsidR="00701718" w:rsidRDefault="00701718" w:rsidP="00701718"/>
    <w:p w:rsidR="00701718" w:rsidRDefault="00701718" w:rsidP="00701718">
      <w:r>
        <w:t>The feasibility study becomes government’s project handbook in every stage that follows its completion, enabling thorough procurement documents and draft contracts to be compiled, private sector bids to be evaluated against the feasibility benchmarks, negotiations to be conducted, and contracts to be managed.</w:t>
      </w:r>
    </w:p>
    <w:p w:rsidR="00701718" w:rsidRDefault="00701718" w:rsidP="00701718"/>
    <w:p w:rsidR="00701718" w:rsidRDefault="00701718" w:rsidP="00701718">
      <w:r>
        <w:t>If the project is procured as a PPP, the feasibility study is revisited as part of the final treasury approval prior to the signing of the PPP agreement with the private party. If at any stage during procurement or after the signing of a PPP agreement, the assumptions underlying the approved feasibility study are to be changed materially, the government institution is required to seek Treasury approval for such changes.</w:t>
      </w:r>
    </w:p>
    <w:p w:rsidR="00701718" w:rsidRDefault="00701718" w:rsidP="00701718"/>
    <w:p w:rsidR="00701718" w:rsidRDefault="00701718" w:rsidP="00665E99">
      <w:pPr>
        <w:pStyle w:val="Heading3"/>
        <w:numPr>
          <w:ilvl w:val="0"/>
          <w:numId w:val="36"/>
        </w:numPr>
      </w:pPr>
      <w:bookmarkStart w:id="31" w:name="_Toc455995486"/>
      <w:r>
        <w:t>Advantages of the PPP Structure</w:t>
      </w:r>
      <w:bookmarkEnd w:id="31"/>
    </w:p>
    <w:p w:rsidR="00701718" w:rsidRDefault="00701718" w:rsidP="00701718">
      <w:r>
        <w:t xml:space="preserve">Though the working relationships between the public and private sectors are not new, the use of PPP structures is becoming increasingly popular.  PPPs enable the participants to transfer the various risks inherent in a project to those who are best equipped to manage it.  If a PPP is </w:t>
      </w:r>
      <w:r>
        <w:lastRenderedPageBreak/>
        <w:t xml:space="preserve">well structured it should enable all parties to better utilize resources by promoting efficiency and transparency, as well as provide a number of benefits including:  </w:t>
      </w:r>
    </w:p>
    <w:p w:rsidR="00701718" w:rsidRDefault="00701718" w:rsidP="00701718"/>
    <w:p w:rsidR="00701718" w:rsidRDefault="00701718" w:rsidP="00665E99">
      <w:pPr>
        <w:pStyle w:val="ListParagraph"/>
        <w:numPr>
          <w:ilvl w:val="0"/>
          <w:numId w:val="22"/>
        </w:numPr>
        <w:ind w:left="360"/>
      </w:pPr>
      <w:r>
        <w:t xml:space="preserve">Risk Diversification - The creation of an SPV enables the coming together of many different parties and facilitates the allocation and diversification of risk and financing requirements to more than one party. This diversification enables the undertaking of projects where the financial requirements or risks might be too great for any one party by itself.   </w:t>
      </w:r>
    </w:p>
    <w:p w:rsidR="00701718" w:rsidRDefault="00701718" w:rsidP="00701718"/>
    <w:p w:rsidR="00701718" w:rsidRDefault="00701718" w:rsidP="00665E99">
      <w:pPr>
        <w:pStyle w:val="ListParagraph"/>
        <w:numPr>
          <w:ilvl w:val="0"/>
          <w:numId w:val="22"/>
        </w:numPr>
        <w:ind w:left="360"/>
      </w:pPr>
      <w:r>
        <w:t xml:space="preserve">Risk Mitigation - The SPV facilitates the use of project financing which is intended to keep the specific risks of that project separate from the existing business of the private sponsors.  This is beneficial in that the financial integrity of the project sponsor’s business will not be jeopardized should the project fail. </w:t>
      </w:r>
    </w:p>
    <w:p w:rsidR="00701718" w:rsidRDefault="00701718" w:rsidP="00701718"/>
    <w:p w:rsidR="00701718" w:rsidRDefault="00701718" w:rsidP="00665E99">
      <w:pPr>
        <w:pStyle w:val="ListParagraph"/>
        <w:numPr>
          <w:ilvl w:val="0"/>
          <w:numId w:val="22"/>
        </w:numPr>
        <w:ind w:left="360"/>
      </w:pPr>
      <w:r>
        <w:t>Project financing - unlike traditional lending, is based on the financial strength of a project with little or no recourse back to the sponsor.  The SPV borrows the funds and the debt is paid back using the cash flow generated from the project.   Since it is the SPV that is borrowing the funds, this will not affect the sponsor’s credit rating and therefore not affect future borrowing by the project sponsor.</w:t>
      </w:r>
    </w:p>
    <w:p w:rsidR="00701718" w:rsidRDefault="00701718" w:rsidP="00701718">
      <w:pPr>
        <w:pStyle w:val="ListParagraph"/>
        <w:ind w:left="360"/>
      </w:pPr>
    </w:p>
    <w:p w:rsidR="00701718" w:rsidRDefault="00701718" w:rsidP="00665E99">
      <w:pPr>
        <w:pStyle w:val="ListParagraph"/>
        <w:numPr>
          <w:ilvl w:val="0"/>
          <w:numId w:val="22"/>
        </w:numPr>
        <w:ind w:left="360"/>
      </w:pPr>
      <w:r>
        <w:t xml:space="preserve">Leverage – Leverage is the amount of debt in relation to the amount of equity used to finance a project. Projects financed using project-financing methods are usually highly leveraged in order to increase the equity return.  The use of leverage can make projects more financially viable.  </w:t>
      </w:r>
    </w:p>
    <w:p w:rsidR="00701718" w:rsidRDefault="00701718" w:rsidP="00701718">
      <w:pPr>
        <w:pStyle w:val="ListParagraph"/>
        <w:ind w:left="360"/>
      </w:pPr>
    </w:p>
    <w:p w:rsidR="00701718" w:rsidRDefault="00701718" w:rsidP="00665E99">
      <w:pPr>
        <w:pStyle w:val="ListParagraph"/>
        <w:numPr>
          <w:ilvl w:val="0"/>
          <w:numId w:val="22"/>
        </w:numPr>
        <w:ind w:left="360"/>
      </w:pPr>
      <w:r>
        <w:t>Credit Ratings - Traditional corporate lending is based on the sponsor’s credit rating.  Project financing facilitates the borrowing for a profitable project and is not restrained by the project sponsor’s borrowing limitations.</w:t>
      </w:r>
    </w:p>
    <w:p w:rsidR="00701718" w:rsidRDefault="00701718" w:rsidP="00701718">
      <w:pPr>
        <w:pStyle w:val="ListParagraph"/>
        <w:ind w:left="360"/>
      </w:pPr>
    </w:p>
    <w:p w:rsidR="00701718" w:rsidRDefault="00701718" w:rsidP="00665E99">
      <w:pPr>
        <w:pStyle w:val="ListParagraph"/>
        <w:numPr>
          <w:ilvl w:val="0"/>
          <w:numId w:val="22"/>
        </w:numPr>
        <w:ind w:left="360"/>
      </w:pPr>
      <w:r>
        <w:t>Tax Benefits - Depending on the project, tax benefits sometimes exist for new enterprises.  The establishment of an SPV to undertake a PPP can help sponsors take advantage of these tax saving mechanisms.</w:t>
      </w:r>
    </w:p>
    <w:p w:rsidR="00B63000" w:rsidRDefault="00B63000">
      <w:pPr>
        <w:spacing w:after="200" w:line="276" w:lineRule="auto"/>
        <w:jc w:val="left"/>
      </w:pPr>
      <w:r>
        <w:br w:type="page"/>
      </w:r>
    </w:p>
    <w:p w:rsidR="009B4204" w:rsidRDefault="009B4204" w:rsidP="00665E99">
      <w:pPr>
        <w:pStyle w:val="Heading3"/>
        <w:numPr>
          <w:ilvl w:val="3"/>
          <w:numId w:val="27"/>
        </w:numPr>
        <w:ind w:left="1276" w:hanging="1276"/>
      </w:pPr>
      <w:bookmarkStart w:id="32" w:name="_Toc455995487"/>
      <w:r>
        <w:lastRenderedPageBreak/>
        <w:t xml:space="preserve">Evaluation of 2016/17 </w:t>
      </w:r>
      <w:r w:rsidR="00C06F90" w:rsidRPr="00C06F90">
        <w:t>Project Pipeline and Funding</w:t>
      </w:r>
      <w:bookmarkEnd w:id="32"/>
    </w:p>
    <w:p w:rsidR="00C06F90" w:rsidRDefault="009B4204" w:rsidP="00C06F90">
      <w:r>
        <w:t xml:space="preserve">The </w:t>
      </w:r>
      <w:r w:rsidR="00C06F90">
        <w:t xml:space="preserve">goal </w:t>
      </w:r>
      <w:r>
        <w:t xml:space="preserve">of </w:t>
      </w:r>
      <w:r w:rsidR="00C06F90">
        <w:t>this evaluation to determine whether the metro have developed appropriate strategies to find and select</w:t>
      </w:r>
      <w:r w:rsidR="00C06F90" w:rsidRPr="00C06F90">
        <w:t xml:space="preserve"> the right catalytic projects and developing a valuable project pipeline </w:t>
      </w:r>
      <w:r w:rsidR="00C06F90">
        <w:t>which are</w:t>
      </w:r>
      <w:r w:rsidR="00C06F90" w:rsidRPr="00C06F90">
        <w:t xml:space="preserve"> crucial to success.</w:t>
      </w:r>
      <w:r w:rsidR="00C06F90">
        <w:t xml:space="preserve"> </w:t>
      </w:r>
      <w:r w:rsidR="00C06F90" w:rsidRPr="00C06F90">
        <w:t>To be successful, the project identification, prioritisation and allocation process must be well defined and disciplined, addressing the most critical demands faced by the metro in a systematic way</w:t>
      </w:r>
      <w:r w:rsidR="00C06F90">
        <w:t xml:space="preserve">. </w:t>
      </w:r>
    </w:p>
    <w:p w:rsidR="00C06F90" w:rsidRDefault="00C06F90" w:rsidP="00C06F90"/>
    <w:p w:rsidR="009B4204" w:rsidRDefault="009B4204" w:rsidP="00C06F90">
      <w:r>
        <w:t xml:space="preserve">The </w:t>
      </w:r>
      <w:r w:rsidR="00C06F90">
        <w:t>key findings from the evaluation are summarised below:</w:t>
      </w:r>
    </w:p>
    <w:p w:rsidR="00C06F90" w:rsidRDefault="00C06F90" w:rsidP="009B4204">
      <w:r>
        <w:rPr>
          <w:noProof/>
          <w:lang w:eastAsia="en-ZA"/>
        </w:rPr>
        <w:drawing>
          <wp:inline distT="0" distB="0" distL="0" distR="0" wp14:anchorId="3D68928D" wp14:editId="6FCAFA92">
            <wp:extent cx="5981700" cy="40481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81700" cy="4048125"/>
                    </a:xfrm>
                    <a:prstGeom prst="rect">
                      <a:avLst/>
                    </a:prstGeom>
                    <a:ln>
                      <a:solidFill>
                        <a:schemeClr val="accent6">
                          <a:lumMod val="60000"/>
                          <a:lumOff val="40000"/>
                        </a:schemeClr>
                      </a:solidFill>
                    </a:ln>
                  </pic:spPr>
                </pic:pic>
              </a:graphicData>
            </a:graphic>
          </wp:inline>
        </w:drawing>
      </w:r>
    </w:p>
    <w:p w:rsidR="009B4204" w:rsidRDefault="00C06F90" w:rsidP="009B4204">
      <w:r>
        <w:t>It is noted that the evaluation was based on a desktop review</w:t>
      </w:r>
      <w:r w:rsidR="00230372">
        <w:t>, and that apart from the inherent limitations from this approach, which was limited to Part D. Capital Funding of the BEPP. An extended evaluation which can include reviews of business cases, programmes and project plans, dependencies and interdependencies, prioritisation and decision matrices and funding requirements, may lead to a different evaluation from the one reflected above.</w:t>
      </w:r>
    </w:p>
    <w:p w:rsidR="009B4204" w:rsidRDefault="00B63000" w:rsidP="009B4204">
      <w:pPr>
        <w:pStyle w:val="ListParagraph"/>
        <w:ind w:left="450"/>
      </w:pPr>
      <w:r>
        <w:rPr>
          <w:noProof/>
          <w:lang w:eastAsia="en-ZA"/>
        </w:rPr>
        <w:lastRenderedPageBreak/>
        <mc:AlternateContent>
          <mc:Choice Requires="wps">
            <w:drawing>
              <wp:anchor distT="0" distB="0" distL="114300" distR="114300" simplePos="0" relativeHeight="251677696" behindDoc="1" locked="0" layoutInCell="1" allowOverlap="1" wp14:anchorId="58FB9A97" wp14:editId="47666DE5">
                <wp:simplePos x="0" y="0"/>
                <wp:positionH relativeFrom="margin">
                  <wp:align>left</wp:align>
                </wp:positionH>
                <wp:positionV relativeFrom="paragraph">
                  <wp:posOffset>248285</wp:posOffset>
                </wp:positionV>
                <wp:extent cx="6000750" cy="5162550"/>
                <wp:effectExtent l="0" t="0" r="19050" b="19050"/>
                <wp:wrapSquare wrapText="bothSides"/>
                <wp:docPr id="112" name="Rounded Rectangle 112"/>
                <wp:cNvGraphicFramePr/>
                <a:graphic xmlns:a="http://schemas.openxmlformats.org/drawingml/2006/main">
                  <a:graphicData uri="http://schemas.microsoft.com/office/word/2010/wordprocessingShape">
                    <wps:wsp>
                      <wps:cNvSpPr/>
                      <wps:spPr>
                        <a:xfrm>
                          <a:off x="0" y="0"/>
                          <a:ext cx="6000750" cy="5162550"/>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0372" w:rsidRPr="00230372" w:rsidRDefault="00230372" w:rsidP="009B4204">
                            <w:pPr>
                              <w:rPr>
                                <w:i/>
                                <w:color w:val="000000" w:themeColor="text1"/>
                              </w:rPr>
                            </w:pPr>
                            <w:r w:rsidRPr="00230372">
                              <w:rPr>
                                <w:i/>
                                <w:color w:val="000000" w:themeColor="text1"/>
                              </w:rPr>
                              <w:t>The recommendations below must be interpreted with due consideration of the   limitations of the current desktop evaluation. An extended evaluation may lead to a modification of the recommendations below.</w:t>
                            </w:r>
                          </w:p>
                          <w:p w:rsidR="00230372" w:rsidRDefault="00230372" w:rsidP="009B4204">
                            <w:pPr>
                              <w:rPr>
                                <w:color w:val="000000" w:themeColor="text1"/>
                              </w:rPr>
                            </w:pPr>
                          </w:p>
                          <w:p w:rsidR="009B4204" w:rsidRDefault="009B4204" w:rsidP="009B4204">
                            <w:pPr>
                              <w:rPr>
                                <w:color w:val="000000" w:themeColor="text1"/>
                              </w:rPr>
                            </w:pPr>
                            <w:r>
                              <w:rPr>
                                <w:color w:val="000000" w:themeColor="text1"/>
                              </w:rPr>
                              <w:t>RECOMMENDATIONS</w:t>
                            </w:r>
                            <w:r w:rsidR="00175FA0">
                              <w:rPr>
                                <w:color w:val="000000" w:themeColor="text1"/>
                              </w:rPr>
                              <w:t xml:space="preserve"> – PROJECT PIPELINE AND FUNDING</w:t>
                            </w:r>
                            <w:r>
                              <w:rPr>
                                <w:color w:val="000000" w:themeColor="text1"/>
                              </w:rPr>
                              <w:t>:</w:t>
                            </w:r>
                          </w:p>
                          <w:p w:rsidR="00230372" w:rsidRDefault="00230372" w:rsidP="00665E99">
                            <w:pPr>
                              <w:pStyle w:val="ListParagraph"/>
                              <w:numPr>
                                <w:ilvl w:val="0"/>
                                <w:numId w:val="29"/>
                              </w:numPr>
                              <w:jc w:val="left"/>
                              <w:rPr>
                                <w:color w:val="000000" w:themeColor="text1"/>
                              </w:rPr>
                            </w:pPr>
                            <w:r w:rsidRPr="00230372">
                              <w:rPr>
                                <w:color w:val="000000" w:themeColor="text1"/>
                              </w:rPr>
                              <w:t>It is recommended that BEPPs be standardised across all metros based on those of a h</w:t>
                            </w:r>
                            <w:r>
                              <w:rPr>
                                <w:color w:val="000000" w:themeColor="text1"/>
                              </w:rPr>
                              <w:t>igh quality e.g. CPT.</w:t>
                            </w:r>
                          </w:p>
                          <w:p w:rsidR="00230372" w:rsidRPr="00230372" w:rsidRDefault="00230372" w:rsidP="00665E99">
                            <w:pPr>
                              <w:pStyle w:val="ListParagraph"/>
                              <w:numPr>
                                <w:ilvl w:val="0"/>
                                <w:numId w:val="29"/>
                              </w:numPr>
                              <w:jc w:val="left"/>
                              <w:rPr>
                                <w:color w:val="000000" w:themeColor="text1"/>
                              </w:rPr>
                            </w:pPr>
                            <w:r w:rsidRPr="00230372">
                              <w:rPr>
                                <w:color w:val="000000" w:themeColor="text1"/>
                              </w:rPr>
                              <w:t>It is recommended that comprehensive detail be provided for all of the following components in Part D. Capital Funding of the BEPP:</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Pipeline of projects</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Indicate whether a project feasibility/pre-feasibility has been conducted</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Project pipeline fully costed over the MTREF</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Funding sources identified (grants, own revenue, borrowing) and status of</w:t>
                            </w:r>
                            <w:r>
                              <w:rPr>
                                <w:color w:val="000000" w:themeColor="text1"/>
                              </w:rPr>
                              <w:t xml:space="preserve"> </w:t>
                            </w:r>
                            <w:r w:rsidRPr="00230372">
                              <w:rPr>
                                <w:color w:val="000000" w:themeColor="text1"/>
                              </w:rPr>
                              <w:t xml:space="preserve"> </w:t>
                            </w:r>
                            <w:r>
                              <w:rPr>
                                <w:color w:val="000000" w:themeColor="text1"/>
                              </w:rPr>
                              <w:t xml:space="preserve"> </w:t>
                            </w:r>
                            <w:r w:rsidRPr="00230372">
                              <w:rPr>
                                <w:color w:val="000000" w:themeColor="text1"/>
                              </w:rPr>
                              <w:t>financial closure in this respect</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Identify alternative funding sources, and status of financial closure in this respect</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Highlight projects for which funding has not been acquired/ secured</w:t>
                            </w:r>
                          </w:p>
                          <w:p w:rsidR="00230372" w:rsidRPr="00230372" w:rsidRDefault="00230372" w:rsidP="00665E99">
                            <w:pPr>
                              <w:pStyle w:val="ListParagraph"/>
                              <w:numPr>
                                <w:ilvl w:val="0"/>
                                <w:numId w:val="29"/>
                              </w:numPr>
                              <w:jc w:val="left"/>
                              <w:rPr>
                                <w:color w:val="000000" w:themeColor="text1"/>
                              </w:rPr>
                            </w:pPr>
                            <w:r w:rsidRPr="00230372">
                              <w:rPr>
                                <w:color w:val="000000" w:themeColor="text1"/>
                              </w:rPr>
                              <w:t xml:space="preserve">Indicate next steps in respect of “unbanked” projects </w:t>
                            </w:r>
                          </w:p>
                          <w:p w:rsidR="009B4204" w:rsidRDefault="00230372" w:rsidP="00665E99">
                            <w:pPr>
                              <w:pStyle w:val="ListParagraph"/>
                              <w:numPr>
                                <w:ilvl w:val="0"/>
                                <w:numId w:val="29"/>
                              </w:numPr>
                              <w:jc w:val="left"/>
                              <w:rPr>
                                <w:color w:val="000000" w:themeColor="text1"/>
                              </w:rPr>
                            </w:pPr>
                            <w:r w:rsidRPr="00230372">
                              <w:rPr>
                                <w:color w:val="000000" w:themeColor="text1"/>
                              </w:rPr>
                              <w:t>Indicate status of project pipeline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58FB9A97" id="Rounded Rectangle 112" o:spid="_x0000_s1034" style="position:absolute;left:0;text-align:left;margin-left:0;margin-top:19.55pt;width:472.5pt;height:406.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" fillcolor="#fabf8f [1945]" strokecolor="#974706 [1609]" strokeweight="2pt">
                <v:textbox>
                  <w:txbxContent>
                    <w:p w:rsidR="00230372" w:rsidRPr="00230372" w:rsidRDefault="00230372" w:rsidP="009B4204">
                      <w:pPr>
                        <w:rPr>
                          <w:i/>
                          <w:color w:val="000000" w:themeColor="text1"/>
                        </w:rPr>
                      </w:pPr>
                      <w:r w:rsidRPr="00230372">
                        <w:rPr>
                          <w:i/>
                          <w:color w:val="000000" w:themeColor="text1"/>
                        </w:rPr>
                        <w:t>The recommendations below must be interpreted with due consideration of the   limitations of the current desktop evaluation. An extended evaluation may lead to a modification of the recommendations below.</w:t>
                      </w:r>
                    </w:p>
                    <w:p w:rsidR="00230372" w:rsidRDefault="00230372" w:rsidP="009B4204">
                      <w:pPr>
                        <w:rPr>
                          <w:color w:val="000000" w:themeColor="text1"/>
                        </w:rPr>
                      </w:pPr>
                    </w:p>
                    <w:p w:rsidR="009B4204" w:rsidRDefault="009B4204" w:rsidP="009B4204">
                      <w:pPr>
                        <w:rPr>
                          <w:color w:val="000000" w:themeColor="text1"/>
                        </w:rPr>
                      </w:pPr>
                      <w:r>
                        <w:rPr>
                          <w:color w:val="000000" w:themeColor="text1"/>
                        </w:rPr>
                        <w:t>RECOMMENDATIONS</w:t>
                      </w:r>
                      <w:r w:rsidR="00175FA0">
                        <w:rPr>
                          <w:color w:val="000000" w:themeColor="text1"/>
                        </w:rPr>
                        <w:t xml:space="preserve"> – PROJECT PIPELINE AND FUNDING</w:t>
                      </w:r>
                      <w:r>
                        <w:rPr>
                          <w:color w:val="000000" w:themeColor="text1"/>
                        </w:rPr>
                        <w:t>:</w:t>
                      </w:r>
                    </w:p>
                    <w:p w:rsidR="00230372" w:rsidRDefault="00230372" w:rsidP="00665E99">
                      <w:pPr>
                        <w:pStyle w:val="ListParagraph"/>
                        <w:numPr>
                          <w:ilvl w:val="0"/>
                          <w:numId w:val="29"/>
                        </w:numPr>
                        <w:jc w:val="left"/>
                        <w:rPr>
                          <w:color w:val="000000" w:themeColor="text1"/>
                        </w:rPr>
                      </w:pPr>
                      <w:r w:rsidRPr="00230372">
                        <w:rPr>
                          <w:color w:val="000000" w:themeColor="text1"/>
                        </w:rPr>
                        <w:t>It is recommended that BEPPs be standardised across all metros based on those of a h</w:t>
                      </w:r>
                      <w:r>
                        <w:rPr>
                          <w:color w:val="000000" w:themeColor="text1"/>
                        </w:rPr>
                        <w:t>igh quality e.g. CPT.</w:t>
                      </w:r>
                    </w:p>
                    <w:p w:rsidR="00230372" w:rsidRPr="00230372" w:rsidRDefault="00230372" w:rsidP="00665E99">
                      <w:pPr>
                        <w:pStyle w:val="ListParagraph"/>
                        <w:numPr>
                          <w:ilvl w:val="0"/>
                          <w:numId w:val="29"/>
                        </w:numPr>
                        <w:jc w:val="left"/>
                        <w:rPr>
                          <w:color w:val="000000" w:themeColor="text1"/>
                        </w:rPr>
                      </w:pPr>
                      <w:r w:rsidRPr="00230372">
                        <w:rPr>
                          <w:color w:val="000000" w:themeColor="text1"/>
                        </w:rPr>
                        <w:t>It is recommended that comprehensive detail be provided for all of the following components in Part D. Capital Funding of the BEPP:</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Pipeline of projects</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Indicate whether a project feasibility/pre-feasibility has been conducted</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Project pipeline fully costed over the MTREF</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Funding sources identified (grants, own revenue, borrowing) and status of</w:t>
                      </w:r>
                      <w:r>
                        <w:rPr>
                          <w:color w:val="000000" w:themeColor="text1"/>
                        </w:rPr>
                        <w:t xml:space="preserve"> </w:t>
                      </w:r>
                      <w:r w:rsidRPr="00230372">
                        <w:rPr>
                          <w:color w:val="000000" w:themeColor="text1"/>
                        </w:rPr>
                        <w:t xml:space="preserve"> </w:t>
                      </w:r>
                      <w:r>
                        <w:rPr>
                          <w:color w:val="000000" w:themeColor="text1"/>
                        </w:rPr>
                        <w:t xml:space="preserve"> </w:t>
                      </w:r>
                      <w:r w:rsidRPr="00230372">
                        <w:rPr>
                          <w:color w:val="000000" w:themeColor="text1"/>
                        </w:rPr>
                        <w:t>financial closure in this respect</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Identify alternative funding sources, and status of financial closure in this respect</w:t>
                      </w:r>
                    </w:p>
                    <w:p w:rsidR="00230372" w:rsidRPr="00230372" w:rsidRDefault="00230372" w:rsidP="00665E99">
                      <w:pPr>
                        <w:pStyle w:val="ListParagraph"/>
                        <w:numPr>
                          <w:ilvl w:val="1"/>
                          <w:numId w:val="29"/>
                        </w:numPr>
                        <w:jc w:val="left"/>
                        <w:rPr>
                          <w:color w:val="000000" w:themeColor="text1"/>
                        </w:rPr>
                      </w:pPr>
                      <w:r w:rsidRPr="00230372">
                        <w:rPr>
                          <w:color w:val="000000" w:themeColor="text1"/>
                        </w:rPr>
                        <w:t>Highlight projects for which funding has not been acquired/ secured</w:t>
                      </w:r>
                    </w:p>
                    <w:p w:rsidR="00230372" w:rsidRPr="00230372" w:rsidRDefault="00230372" w:rsidP="00665E99">
                      <w:pPr>
                        <w:pStyle w:val="ListParagraph"/>
                        <w:numPr>
                          <w:ilvl w:val="0"/>
                          <w:numId w:val="29"/>
                        </w:numPr>
                        <w:jc w:val="left"/>
                        <w:rPr>
                          <w:color w:val="000000" w:themeColor="text1"/>
                        </w:rPr>
                      </w:pPr>
                      <w:r w:rsidRPr="00230372">
                        <w:rPr>
                          <w:color w:val="000000" w:themeColor="text1"/>
                        </w:rPr>
                        <w:t xml:space="preserve">Indicate next steps in respect of “unbanked” projects </w:t>
                      </w:r>
                    </w:p>
                    <w:p w:rsidR="009B4204" w:rsidRDefault="00230372" w:rsidP="00665E99">
                      <w:pPr>
                        <w:pStyle w:val="ListParagraph"/>
                        <w:numPr>
                          <w:ilvl w:val="0"/>
                          <w:numId w:val="29"/>
                        </w:numPr>
                        <w:jc w:val="left"/>
                        <w:rPr>
                          <w:color w:val="000000" w:themeColor="text1"/>
                        </w:rPr>
                      </w:pPr>
                      <w:r w:rsidRPr="00230372">
                        <w:rPr>
                          <w:color w:val="000000" w:themeColor="text1"/>
                        </w:rPr>
                        <w:t>Indicate status of project pipeline</w:t>
                      </w:r>
                    </w:p>
                  </w:txbxContent>
                </v:textbox>
                <w10:wrap type="square" anchorx="margin"/>
              </v:roundrect>
            </w:pict>
          </mc:Fallback>
        </mc:AlternateContent>
      </w:r>
    </w:p>
    <w:p w:rsidR="00230372" w:rsidRDefault="00230372">
      <w:pPr>
        <w:spacing w:after="200" w:line="276" w:lineRule="auto"/>
        <w:jc w:val="left"/>
      </w:pPr>
      <w:r>
        <w:br w:type="page"/>
      </w:r>
    </w:p>
    <w:p w:rsidR="005F3DF7" w:rsidRPr="00920D90" w:rsidRDefault="005F3DF7" w:rsidP="00665E99">
      <w:pPr>
        <w:pStyle w:val="Heading3"/>
        <w:numPr>
          <w:ilvl w:val="1"/>
          <w:numId w:val="27"/>
        </w:numPr>
      </w:pPr>
      <w:bookmarkStart w:id="33" w:name="_Toc455995488"/>
      <w:r w:rsidRPr="00920D90">
        <w:lastRenderedPageBreak/>
        <w:t xml:space="preserve">Risks </w:t>
      </w:r>
      <w:r w:rsidR="008B775B">
        <w:t>Identification and Mitigation</w:t>
      </w:r>
      <w:bookmarkEnd w:id="33"/>
    </w:p>
    <w:p w:rsidR="005F3DF7" w:rsidRDefault="005F3DF7" w:rsidP="005F3DF7">
      <w:r>
        <w:t>Large infrastructure projects suffer from significant under-management of risk in practically all stages of the value chain and throughout the life cycle of a project. In particular, poor risk assessment and risk allocation, for example, through contracts with the builders and financiers, early on in the concept and design phase lead to higher materialised risks and private-financing shortages later on.</w:t>
      </w:r>
    </w:p>
    <w:p w:rsidR="005F3DF7" w:rsidRDefault="005F3DF7" w:rsidP="005F3DF7"/>
    <w:p w:rsidR="005F3DF7" w:rsidRDefault="005F3DF7" w:rsidP="005F3DF7">
      <w:r>
        <w:t>Risk is also undermanaged in the later stages of infrastructure projects, destroying a significant share of their value. Crucially, project owners often fail to see that risks generated in one stage of the project can have a significant knock-on impact throughout its later stages.</w:t>
      </w:r>
    </w:p>
    <w:p w:rsidR="005F3DF7" w:rsidRDefault="005F3DF7" w:rsidP="005F3DF7"/>
    <w:p w:rsidR="005F3DF7" w:rsidRDefault="005F3DF7" w:rsidP="005F3DF7">
      <w:r>
        <w:t xml:space="preserve">The structuring and delivery of modern infrastructure projects is extremely complex. The long-term character of such projects requires a strategy that appropriately reflects the uncertainty and huge variety of risks they are exposed to over their life cycles. Infrastructure projects also involve a large number of different stakeholders entering the project life cycle at different stages with different roles, responsibilities, risk-management capabilities and risk-bearing capacities, and often conflicting interests. While the complexity of these projects requires division of roles and responsibilities among highly specialized players (such as contractors and operators), this leads to significant interface risks among the various stakeholders that materialize throughout the life cycle of the project, and these must be anticipated and managed from the outset. </w:t>
      </w:r>
    </w:p>
    <w:p w:rsidR="005F3DF7" w:rsidRDefault="005F3DF7" w:rsidP="005F3DF7"/>
    <w:p w:rsidR="005F3DF7" w:rsidRDefault="005F3DF7" w:rsidP="005F3DF7">
      <w:r>
        <w:t>And because infrastructure projects have become and will continue to become significantly larger and more complex, losses due to the cost of undermanaged risks will continue to increase. This will be exacerbated by an ongoing shortage of talent and experience—not only are projects more complex, but there are also more of them, which will create demand for more effective and more systematic approaches and solutions.</w:t>
      </w:r>
    </w:p>
    <w:p w:rsidR="005F3DF7" w:rsidRDefault="005F3DF7" w:rsidP="005F3DF7"/>
    <w:p w:rsidR="005F3DF7" w:rsidRPr="0096457D" w:rsidRDefault="005F3DF7" w:rsidP="005F3DF7">
      <w:r w:rsidRPr="0096457D">
        <w:t>These risks include some or all of the following categories:</w:t>
      </w:r>
    </w:p>
    <w:p w:rsidR="005F3DF7" w:rsidRPr="0096457D" w:rsidRDefault="005F3DF7" w:rsidP="00665E99">
      <w:pPr>
        <w:numPr>
          <w:ilvl w:val="0"/>
          <w:numId w:val="8"/>
        </w:numPr>
      </w:pPr>
      <w:r w:rsidRPr="0096457D">
        <w:t>Overestimating revenue and growth potential due to skewed incentives among project originators</w:t>
      </w:r>
    </w:p>
    <w:p w:rsidR="005F3DF7" w:rsidRPr="0096457D" w:rsidRDefault="005F3DF7" w:rsidP="00665E99">
      <w:pPr>
        <w:numPr>
          <w:ilvl w:val="0"/>
          <w:numId w:val="8"/>
        </w:numPr>
      </w:pPr>
      <w:r w:rsidRPr="0096457D">
        <w:t>Sponsors and developers fail to plan delivery and stakeholder and project management in a sufficiently professional way</w:t>
      </w:r>
    </w:p>
    <w:p w:rsidR="005F3DF7" w:rsidRPr="0096457D" w:rsidRDefault="005F3DF7" w:rsidP="00665E99">
      <w:pPr>
        <w:numPr>
          <w:ilvl w:val="0"/>
          <w:numId w:val="8"/>
        </w:numPr>
      </w:pPr>
      <w:r w:rsidRPr="0096457D">
        <w:t>Engineering and construction companies pay insufficient attention to mitigating and controlling risk during the design phase</w:t>
      </w:r>
    </w:p>
    <w:p w:rsidR="005F3DF7" w:rsidRPr="0096457D" w:rsidRDefault="005F3DF7" w:rsidP="00665E99">
      <w:pPr>
        <w:numPr>
          <w:ilvl w:val="0"/>
          <w:numId w:val="8"/>
        </w:numPr>
      </w:pPr>
      <w:r w:rsidRPr="0096457D">
        <w:lastRenderedPageBreak/>
        <w:t>Financiers lack confidence in the ability of sponsors and other stakeholders to manage risks professionally and are not able to monitor developments and emerging risks themselves</w:t>
      </w:r>
    </w:p>
    <w:p w:rsidR="005F3DF7" w:rsidRPr="0096457D" w:rsidRDefault="005F3DF7" w:rsidP="005F3DF7">
      <w:pPr>
        <w:rPr>
          <w:b/>
        </w:rPr>
      </w:pPr>
    </w:p>
    <w:p w:rsidR="005F3DF7" w:rsidRPr="0096457D" w:rsidRDefault="005F3DF7" w:rsidP="005F3DF7">
      <w:r w:rsidRPr="0096457D">
        <w:t>Surprisingly, the risks of large infrastructure projects often do not get properly allocated to the parties that are the best “risk owners”—those that have a superior capability to absorb these risks. This can result from a misunderstanding or disregard on the part of governments of the risk appetite, for instance, of private investors who are sensitive to the kinds of risks they accept and under what terms. Providers of finance will often be the immediate losers from poorly allocated or undermanaged risks. Even in public-private-partnership (PPP) structures, private-risk takers and their management techniques are introduced too late to the process to influence risk management and allocation, and therefore they cannot undo the mistakes already embedded in the projects. One crucial consequence is an increase in the cost of financing PPP projects and a greater need for sovereign guarantees or multilateral-agency support. In the end, however, society at large bears the costs of failures or overruns, not least in the form of missed or slowed growth.</w:t>
      </w:r>
    </w:p>
    <w:p w:rsidR="005F3DF7" w:rsidRPr="0096457D" w:rsidRDefault="005F3DF7" w:rsidP="005F3DF7"/>
    <w:p w:rsidR="005F3DF7" w:rsidRPr="0096457D" w:rsidRDefault="005F3DF7" w:rsidP="005F3DF7">
      <w:r w:rsidRPr="0096457D">
        <w:t>Private sources of investment are becoming increasingly scarce. Banks have weak balance sheets and are under severe regulatory pressure to avoid or limit long-term structured finance. Many are either reducing or exiting their infrastructure-financing businesses. Other potential “natural owners,” such as pension funds and insurance companies, either have regulatory constraints or are still in the early stages of considering direct investments and building up the necessary expertise.</w:t>
      </w:r>
    </w:p>
    <w:p w:rsidR="005F3DF7" w:rsidRDefault="005F3DF7" w:rsidP="005F3DF7"/>
    <w:p w:rsidR="005F3DF7" w:rsidRPr="0096457D" w:rsidRDefault="005F3DF7" w:rsidP="005F3DF7">
      <w:r w:rsidRPr="0096457D">
        <w:t>This helps to explain why the dominant financing solution to deliver infrastructure projects is through budget-financed public-procurement processes. It is striking to see that—in the absence of private-sector management techniques and private-sector risk takers—public-infrastructure sponsors seldom apply state-of-the-art risk- and project-management tools and techniques, despite the knock-on consequences of being seen to “lose” public money during a time of increasingly constrained public budgets.</w:t>
      </w:r>
    </w:p>
    <w:p w:rsidR="005F3DF7" w:rsidRPr="0096457D" w:rsidRDefault="005F3DF7" w:rsidP="005F3DF7"/>
    <w:p w:rsidR="005F3DF7" w:rsidRPr="0096457D" w:rsidRDefault="005F3DF7" w:rsidP="005F3DF7">
      <w:r w:rsidRPr="0096457D">
        <w:t>In effect, a larger volume of riskier infrastructure projects, managed by public servants who lack of risk- and project-management skills and resources, seeks funding from a market with lower financial supply and a significantly lower risk appetite among providers of both public and private financing.</w:t>
      </w:r>
    </w:p>
    <w:p w:rsidR="005F3DF7" w:rsidRPr="0096457D" w:rsidRDefault="005F3DF7" w:rsidP="005F3DF7"/>
    <w:p w:rsidR="005F3DF7" w:rsidRPr="0096457D" w:rsidRDefault="005F3DF7" w:rsidP="005F3DF7">
      <w:r w:rsidRPr="0096457D">
        <w:lastRenderedPageBreak/>
        <w:t xml:space="preserve">This is not to argue that the public sector lacks any risk-management capabilities. In fact, many public-sector processes are very sophisticated, but they are geared toward ensuring transparency itself and avoiding the reality or appearance of misconduct and do so at the expense of effectiveness, efficiency of the process itself, and operational and execution risk-management objectives. As a result, the seeds of many project failures are sown in the early stages of development, when a poorly designed project-delivery approach or ill-considered procurement decision can lead to delays, higher costs, and ultimately diminished returns. </w:t>
      </w:r>
    </w:p>
    <w:p w:rsidR="005F3DF7" w:rsidRPr="0096457D" w:rsidRDefault="005F3DF7" w:rsidP="005F3DF7"/>
    <w:p w:rsidR="005F3DF7" w:rsidRDefault="005F3DF7" w:rsidP="005F3DF7">
      <w:r w:rsidRPr="0096457D">
        <w:t>A more comprehensive approach to risk management would address the key issues facing all parties and stakeholders involved in a project throughout its life cycle, including project originators and sponsors, that is, governments and public entities, tackling both perceived risk, and financing gaps. Good practices in project structuring and risk management can radically improve outcomes in big infrastructure projects. A comprehensive “through the life cycle” risk-management approach is required. There are significant benefits in implementing an effective risk-management capability.</w:t>
      </w:r>
    </w:p>
    <w:p w:rsidR="00B63000" w:rsidRDefault="00B63000" w:rsidP="005F3DF7"/>
    <w:p w:rsidR="005F3DF7" w:rsidRDefault="00B63000" w:rsidP="005F3DF7">
      <w:r>
        <w:t xml:space="preserve">The key steps in the risk management process are: </w:t>
      </w:r>
    </w:p>
    <w:p w:rsidR="00B63000" w:rsidRDefault="00B63000" w:rsidP="005F3DF7">
      <w:r>
        <w:rPr>
          <w:noProof/>
          <w:lang w:eastAsia="en-ZA"/>
        </w:rPr>
        <w:drawing>
          <wp:inline distT="0" distB="0" distL="0" distR="0" wp14:anchorId="3F92B844" wp14:editId="7AB3ECE1">
            <wp:extent cx="5886450" cy="30480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6450" cy="3048000"/>
                    </a:xfrm>
                    <a:prstGeom prst="rect">
                      <a:avLst/>
                    </a:prstGeom>
                    <a:noFill/>
                    <a:ln>
                      <a:solidFill>
                        <a:schemeClr val="accent6">
                          <a:lumMod val="75000"/>
                        </a:schemeClr>
                      </a:solidFill>
                    </a:ln>
                  </pic:spPr>
                </pic:pic>
              </a:graphicData>
            </a:graphic>
          </wp:inline>
        </w:drawing>
      </w:r>
    </w:p>
    <w:p w:rsidR="00B63000" w:rsidRDefault="00B63000" w:rsidP="005F3DF7"/>
    <w:p w:rsidR="005F3DF7" w:rsidRPr="0096457D" w:rsidRDefault="005F3DF7" w:rsidP="005F3DF7">
      <w:r w:rsidRPr="0096457D">
        <w:t>Good risk-informed project management requires the following:</w:t>
      </w:r>
    </w:p>
    <w:p w:rsidR="005F3DF7" w:rsidRPr="0096457D" w:rsidRDefault="005F3DF7" w:rsidP="00665E99">
      <w:pPr>
        <w:numPr>
          <w:ilvl w:val="0"/>
          <w:numId w:val="11"/>
        </w:numPr>
      </w:pPr>
      <w:r w:rsidRPr="0096457D">
        <w:t>a comprehensive conceptual framework that introduces risk management across the value chain and highlights the most critical issues and design choices to be made;</w:t>
      </w:r>
    </w:p>
    <w:p w:rsidR="005F3DF7" w:rsidRPr="0096457D" w:rsidRDefault="005F3DF7" w:rsidP="00665E99">
      <w:pPr>
        <w:numPr>
          <w:ilvl w:val="0"/>
          <w:numId w:val="11"/>
        </w:numPr>
      </w:pPr>
      <w:r w:rsidRPr="0096457D">
        <w:t>a strong set of practical approaches and tools that help governments and companies make these design choices and manage risks more proactively and thus more effectively; and</w:t>
      </w:r>
    </w:p>
    <w:p w:rsidR="005F3DF7" w:rsidRPr="0096457D" w:rsidRDefault="005F3DF7" w:rsidP="00665E99">
      <w:pPr>
        <w:numPr>
          <w:ilvl w:val="0"/>
          <w:numId w:val="11"/>
        </w:numPr>
      </w:pPr>
      <w:r w:rsidRPr="0096457D">
        <w:lastRenderedPageBreak/>
        <w:t>an implementation framework that effectively introduces and ensures the application and execution of discipline in day-to-day business, starting in the beginning of the design phase all the way through the life cycle of a project</w:t>
      </w:r>
    </w:p>
    <w:p w:rsidR="005F3DF7" w:rsidRDefault="005F3DF7" w:rsidP="005F3DF7"/>
    <w:p w:rsidR="009B4204" w:rsidRDefault="009B4204" w:rsidP="00665E99">
      <w:pPr>
        <w:pStyle w:val="Heading3"/>
        <w:numPr>
          <w:ilvl w:val="3"/>
          <w:numId w:val="27"/>
        </w:numPr>
        <w:ind w:left="1276" w:hanging="1276"/>
      </w:pPr>
      <w:bookmarkStart w:id="34" w:name="_Toc455995489"/>
      <w:r>
        <w:t xml:space="preserve">Evaluation of 2016/17 </w:t>
      </w:r>
      <w:r w:rsidR="00B63000">
        <w:t>Risk Identification and Mitigation</w:t>
      </w:r>
      <w:bookmarkEnd w:id="34"/>
    </w:p>
    <w:p w:rsidR="00B63000" w:rsidRDefault="00B63000" w:rsidP="00B63000">
      <w:r>
        <w:t xml:space="preserve">The evaluation sought to review the metros risk identification and mitigation </w:t>
      </w:r>
      <w:r w:rsidR="00915401">
        <w:t>plans related to capital infrastructure projects. R</w:t>
      </w:r>
      <w:r w:rsidRPr="00B63000">
        <w:t>isk is inherent in all activities of any large scale</w:t>
      </w:r>
      <w:r>
        <w:t xml:space="preserve"> </w:t>
      </w:r>
      <w:r w:rsidRPr="00B63000">
        <w:t xml:space="preserve">infrastructure project. </w:t>
      </w:r>
      <w:r w:rsidR="00915401">
        <w:t xml:space="preserve">In order to </w:t>
      </w:r>
      <w:r w:rsidRPr="00B63000">
        <w:t>be successful, a risk management process is needed such that risk can be</w:t>
      </w:r>
      <w:r>
        <w:t xml:space="preserve"> </w:t>
      </w:r>
      <w:r w:rsidRPr="00B63000">
        <w:t>continually evaluated and managed in order to minimise the consequences of adverse events.</w:t>
      </w:r>
    </w:p>
    <w:p w:rsidR="00B63000" w:rsidRPr="00B63000" w:rsidRDefault="00B63000" w:rsidP="00B63000"/>
    <w:p w:rsidR="009B4204" w:rsidRDefault="009B4204" w:rsidP="009B4204">
      <w:pPr>
        <w:rPr>
          <w:noProof/>
          <w:lang w:eastAsia="en-ZA"/>
        </w:rPr>
      </w:pPr>
      <w:r>
        <w:t xml:space="preserve">The </w:t>
      </w:r>
      <w:r w:rsidR="00915401">
        <w:t xml:space="preserve">outcomes of the </w:t>
      </w:r>
      <w:r>
        <w:t xml:space="preserve">evaluation </w:t>
      </w:r>
      <w:r w:rsidR="00915401">
        <w:t>are summarised as follows:</w:t>
      </w:r>
    </w:p>
    <w:p w:rsidR="009B4204" w:rsidRDefault="00915401" w:rsidP="009B4204">
      <w:pPr>
        <w:rPr>
          <w:noProof/>
          <w:lang w:eastAsia="en-ZA"/>
        </w:rPr>
      </w:pPr>
      <w:r>
        <w:rPr>
          <w:noProof/>
          <w:lang w:eastAsia="en-ZA"/>
        </w:rPr>
        <w:drawing>
          <wp:inline distT="0" distB="0" distL="0" distR="0" wp14:anchorId="63936E52" wp14:editId="29FC1FEC">
            <wp:extent cx="5904230" cy="117856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4230" cy="1178560"/>
                    </a:xfrm>
                    <a:prstGeom prst="rect">
                      <a:avLst/>
                    </a:prstGeom>
                  </pic:spPr>
                </pic:pic>
              </a:graphicData>
            </a:graphic>
          </wp:inline>
        </w:drawing>
      </w:r>
    </w:p>
    <w:p w:rsidR="009B4204" w:rsidRDefault="009B4204" w:rsidP="009B4204">
      <w:pPr>
        <w:rPr>
          <w:noProof/>
          <w:lang w:eastAsia="en-ZA"/>
        </w:rPr>
      </w:pPr>
    </w:p>
    <w:p w:rsidR="009B4204" w:rsidRDefault="00915401" w:rsidP="009B4204">
      <w:r w:rsidRPr="00915401">
        <w:t xml:space="preserve">It </w:t>
      </w:r>
      <w:r>
        <w:t>was not possible to determine f</w:t>
      </w:r>
      <w:r w:rsidRPr="00915401">
        <w:t>r</w:t>
      </w:r>
      <w:r>
        <w:t>om the BEPPs whether metros have comprehensive risk management strategies and programmes.</w:t>
      </w:r>
    </w:p>
    <w:p w:rsidR="009B4204" w:rsidRDefault="009B4204" w:rsidP="009B4204">
      <w:pPr>
        <w:pStyle w:val="ListParagraph"/>
        <w:ind w:left="450"/>
      </w:pPr>
      <w:r>
        <w:rPr>
          <w:noProof/>
          <w:lang w:eastAsia="en-ZA"/>
        </w:rPr>
        <mc:AlternateContent>
          <mc:Choice Requires="wps">
            <w:drawing>
              <wp:anchor distT="0" distB="0" distL="114300" distR="114300" simplePos="0" relativeHeight="251679744" behindDoc="1" locked="0" layoutInCell="1" allowOverlap="1" wp14:anchorId="48617C4C" wp14:editId="5EEA4819">
                <wp:simplePos x="0" y="0"/>
                <wp:positionH relativeFrom="margin">
                  <wp:align>left</wp:align>
                </wp:positionH>
                <wp:positionV relativeFrom="paragraph">
                  <wp:posOffset>248285</wp:posOffset>
                </wp:positionV>
                <wp:extent cx="6000750" cy="4067175"/>
                <wp:effectExtent l="0" t="0" r="19050" b="28575"/>
                <wp:wrapSquare wrapText="bothSides"/>
                <wp:docPr id="115" name="Rounded Rectangle 115"/>
                <wp:cNvGraphicFramePr/>
                <a:graphic xmlns:a="http://schemas.openxmlformats.org/drawingml/2006/main">
                  <a:graphicData uri="http://schemas.microsoft.com/office/word/2010/wordprocessingShape">
                    <wps:wsp>
                      <wps:cNvSpPr/>
                      <wps:spPr>
                        <a:xfrm>
                          <a:off x="0" y="0"/>
                          <a:ext cx="6000750" cy="4067175"/>
                        </a:xfrm>
                        <a:prstGeom prst="roundRect">
                          <a:avLst/>
                        </a:prstGeom>
                        <a:solidFill>
                          <a:schemeClr val="accent6">
                            <a:lumMod val="60000"/>
                            <a:lumOff val="4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RISK IDENTIFICATION AND MITIGATION</w:t>
                            </w:r>
                            <w:r>
                              <w:rPr>
                                <w:color w:val="000000" w:themeColor="text1"/>
                              </w:rPr>
                              <w:t>:</w:t>
                            </w:r>
                          </w:p>
                          <w:p w:rsidR="00915401" w:rsidRPr="00915401" w:rsidRDefault="00915401" w:rsidP="00665E99">
                            <w:pPr>
                              <w:pStyle w:val="ListParagraph"/>
                              <w:numPr>
                                <w:ilvl w:val="0"/>
                                <w:numId w:val="29"/>
                              </w:numPr>
                              <w:jc w:val="left"/>
                              <w:rPr>
                                <w:color w:val="000000" w:themeColor="text1"/>
                              </w:rPr>
                            </w:pPr>
                            <w:r w:rsidRPr="00915401">
                              <w:rPr>
                                <w:color w:val="000000" w:themeColor="text1"/>
                              </w:rPr>
                              <w:t>All metros should develop r</w:t>
                            </w:r>
                            <w:r>
                              <w:rPr>
                                <w:color w:val="000000" w:themeColor="text1"/>
                              </w:rPr>
                              <w:t xml:space="preserve">isk management strategies as a </w:t>
                            </w:r>
                            <w:r w:rsidRPr="00915401">
                              <w:rPr>
                                <w:color w:val="000000" w:themeColor="text1"/>
                              </w:rPr>
                              <w:t>matter of urgency, with the following characteristics:</w:t>
                            </w:r>
                          </w:p>
                          <w:p w:rsidR="00915401" w:rsidRPr="00915401" w:rsidRDefault="00915401" w:rsidP="00665E99">
                            <w:pPr>
                              <w:pStyle w:val="ListParagraph"/>
                              <w:numPr>
                                <w:ilvl w:val="1"/>
                                <w:numId w:val="29"/>
                              </w:numPr>
                              <w:jc w:val="left"/>
                              <w:rPr>
                                <w:color w:val="000000" w:themeColor="text1"/>
                              </w:rPr>
                            </w:pPr>
                            <w:r w:rsidRPr="00915401">
                              <w:rPr>
                                <w:color w:val="000000" w:themeColor="text1"/>
                              </w:rPr>
                              <w:t>a comprehensive conceptual framework that introduces risk management across the value chain and highlights the most critical issues and design choices to be made;</w:t>
                            </w:r>
                          </w:p>
                          <w:p w:rsidR="00915401" w:rsidRPr="00915401" w:rsidRDefault="00915401" w:rsidP="00665E99">
                            <w:pPr>
                              <w:pStyle w:val="ListParagraph"/>
                              <w:numPr>
                                <w:ilvl w:val="1"/>
                                <w:numId w:val="29"/>
                              </w:numPr>
                              <w:jc w:val="left"/>
                              <w:rPr>
                                <w:color w:val="000000" w:themeColor="text1"/>
                              </w:rPr>
                            </w:pPr>
                            <w:r w:rsidRPr="00915401">
                              <w:rPr>
                                <w:color w:val="000000" w:themeColor="text1"/>
                              </w:rPr>
                              <w:t>a strong set of practical approaches and tools that will enable the metro to make</w:t>
                            </w:r>
                            <w:r>
                              <w:rPr>
                                <w:color w:val="000000" w:themeColor="text1"/>
                              </w:rPr>
                              <w:t xml:space="preserve"> </w:t>
                            </w:r>
                            <w:r w:rsidRPr="00915401">
                              <w:rPr>
                                <w:color w:val="000000" w:themeColor="text1"/>
                              </w:rPr>
                              <w:t>these design choices and manage risks more proactively and thus more effectively;</w:t>
                            </w:r>
                          </w:p>
                          <w:p w:rsidR="009B4204" w:rsidRDefault="00915401" w:rsidP="00665E99">
                            <w:pPr>
                              <w:pStyle w:val="ListParagraph"/>
                              <w:numPr>
                                <w:ilvl w:val="1"/>
                                <w:numId w:val="29"/>
                              </w:numPr>
                              <w:jc w:val="left"/>
                              <w:rPr>
                                <w:color w:val="000000" w:themeColor="text1"/>
                              </w:rPr>
                            </w:pPr>
                            <w:r w:rsidRPr="00915401">
                              <w:rPr>
                                <w:color w:val="000000" w:themeColor="text1"/>
                              </w:rPr>
                              <w:t>an implementation framework that effectively introduces and ensures the</w:t>
                            </w:r>
                            <w:r>
                              <w:rPr>
                                <w:color w:val="000000" w:themeColor="text1"/>
                              </w:rPr>
                              <w:t xml:space="preserve">  </w:t>
                            </w:r>
                            <w:r w:rsidRPr="00915401">
                              <w:rPr>
                                <w:color w:val="000000" w:themeColor="text1"/>
                              </w:rPr>
                              <w:t xml:space="preserve"> application and execution of discipline in day-to-day business, starting in the beginning of the design phase all the way through the life cycle of the project</w:t>
                            </w:r>
                          </w:p>
                          <w:p w:rsidR="00175FA0" w:rsidRDefault="00175FA0" w:rsidP="00665E99">
                            <w:pPr>
                              <w:pStyle w:val="ListParagraph"/>
                              <w:numPr>
                                <w:ilvl w:val="0"/>
                                <w:numId w:val="29"/>
                              </w:numPr>
                              <w:jc w:val="left"/>
                              <w:rPr>
                                <w:color w:val="000000" w:themeColor="text1"/>
                              </w:rPr>
                            </w:pPr>
                            <w:r w:rsidRPr="00175FA0">
                              <w:rPr>
                                <w:color w:val="000000" w:themeColor="text1"/>
                              </w:rPr>
                              <w:t>High-level risks, as well as the mitigation plans, should be included in the BEPP,</w:t>
                            </w:r>
                            <w:r>
                              <w:rPr>
                                <w:color w:val="000000" w:themeColor="text1"/>
                              </w:rPr>
                              <w:t xml:space="preserve"> </w:t>
                            </w:r>
                            <w:r w:rsidRPr="00175FA0">
                              <w:rPr>
                                <w:color w:val="000000" w:themeColor="text1"/>
                              </w:rPr>
                              <w:t>especially where this is of significance to a potential investor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xmlns:w15="http://schemas.microsoft.com/office/word/2012/wordml">
            <w:pict>
              <v:roundrect w14:anchorId="48617C4C" id="Rounded Rectangle 115" o:spid="_x0000_s1035" style="position:absolute;left:0;text-align:left;margin-left:0;margin-top:19.55pt;width:472.5pt;height:320.25pt;z-index:-25163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" fillcolor="#fabf8f [1945]" strokecolor="#974706 [1609]" strokeweight="2pt">
                <v:textbox>
                  <w:txbxContent>
                    <w:p w:rsidR="009B4204" w:rsidRDefault="009B4204" w:rsidP="009B4204">
                      <w:pPr>
                        <w:rPr>
                          <w:color w:val="000000" w:themeColor="text1"/>
                        </w:rPr>
                      </w:pPr>
                      <w:r>
                        <w:rPr>
                          <w:color w:val="000000" w:themeColor="text1"/>
                        </w:rPr>
                        <w:t>RECOMMENDATIONS</w:t>
                      </w:r>
                      <w:r w:rsidR="00175FA0">
                        <w:rPr>
                          <w:color w:val="000000" w:themeColor="text1"/>
                        </w:rPr>
                        <w:t xml:space="preserve"> – RISK IDENTIFICATION AND MITIGATION</w:t>
                      </w:r>
                      <w:r>
                        <w:rPr>
                          <w:color w:val="000000" w:themeColor="text1"/>
                        </w:rPr>
                        <w:t>:</w:t>
                      </w:r>
                    </w:p>
                    <w:p w:rsidR="00915401" w:rsidRPr="00915401" w:rsidRDefault="00915401" w:rsidP="00665E99">
                      <w:pPr>
                        <w:pStyle w:val="ListParagraph"/>
                        <w:numPr>
                          <w:ilvl w:val="0"/>
                          <w:numId w:val="29"/>
                        </w:numPr>
                        <w:jc w:val="left"/>
                        <w:rPr>
                          <w:color w:val="000000" w:themeColor="text1"/>
                        </w:rPr>
                      </w:pPr>
                      <w:r w:rsidRPr="00915401">
                        <w:rPr>
                          <w:color w:val="000000" w:themeColor="text1"/>
                        </w:rPr>
                        <w:t>All metros should develop r</w:t>
                      </w:r>
                      <w:r>
                        <w:rPr>
                          <w:color w:val="000000" w:themeColor="text1"/>
                        </w:rPr>
                        <w:t xml:space="preserve">isk management strategies as a </w:t>
                      </w:r>
                      <w:r w:rsidRPr="00915401">
                        <w:rPr>
                          <w:color w:val="000000" w:themeColor="text1"/>
                        </w:rPr>
                        <w:t>matter of urgency, with the following characteristics:</w:t>
                      </w:r>
                    </w:p>
                    <w:p w:rsidR="00915401" w:rsidRPr="00915401" w:rsidRDefault="00915401" w:rsidP="00665E99">
                      <w:pPr>
                        <w:pStyle w:val="ListParagraph"/>
                        <w:numPr>
                          <w:ilvl w:val="1"/>
                          <w:numId w:val="29"/>
                        </w:numPr>
                        <w:jc w:val="left"/>
                        <w:rPr>
                          <w:color w:val="000000" w:themeColor="text1"/>
                        </w:rPr>
                      </w:pPr>
                      <w:r w:rsidRPr="00915401">
                        <w:rPr>
                          <w:color w:val="000000" w:themeColor="text1"/>
                        </w:rPr>
                        <w:t>a comprehensive conceptual framework that introduces risk management across the value chain and highlights the most critical issues and design choices to be made;</w:t>
                      </w:r>
                    </w:p>
                    <w:p w:rsidR="00915401" w:rsidRPr="00915401" w:rsidRDefault="00915401" w:rsidP="00665E99">
                      <w:pPr>
                        <w:pStyle w:val="ListParagraph"/>
                        <w:numPr>
                          <w:ilvl w:val="1"/>
                          <w:numId w:val="29"/>
                        </w:numPr>
                        <w:jc w:val="left"/>
                        <w:rPr>
                          <w:color w:val="000000" w:themeColor="text1"/>
                        </w:rPr>
                      </w:pPr>
                      <w:r w:rsidRPr="00915401">
                        <w:rPr>
                          <w:color w:val="000000" w:themeColor="text1"/>
                        </w:rPr>
                        <w:t>a strong set of practical approaches and tools that will enable the metro to make</w:t>
                      </w:r>
                      <w:r>
                        <w:rPr>
                          <w:color w:val="000000" w:themeColor="text1"/>
                        </w:rPr>
                        <w:t xml:space="preserve"> </w:t>
                      </w:r>
                      <w:r w:rsidRPr="00915401">
                        <w:rPr>
                          <w:color w:val="000000" w:themeColor="text1"/>
                        </w:rPr>
                        <w:t>these design choices and manage risks more proactively and thus more effectively;</w:t>
                      </w:r>
                    </w:p>
                    <w:p w:rsidR="009B4204" w:rsidRDefault="00915401" w:rsidP="00665E99">
                      <w:pPr>
                        <w:pStyle w:val="ListParagraph"/>
                        <w:numPr>
                          <w:ilvl w:val="1"/>
                          <w:numId w:val="29"/>
                        </w:numPr>
                        <w:jc w:val="left"/>
                        <w:rPr>
                          <w:color w:val="000000" w:themeColor="text1"/>
                        </w:rPr>
                      </w:pPr>
                      <w:r w:rsidRPr="00915401">
                        <w:rPr>
                          <w:color w:val="000000" w:themeColor="text1"/>
                        </w:rPr>
                        <w:t>an implementation framework that effectively introduces and ensures the</w:t>
                      </w:r>
                      <w:r>
                        <w:rPr>
                          <w:color w:val="000000" w:themeColor="text1"/>
                        </w:rPr>
                        <w:t xml:space="preserve">  </w:t>
                      </w:r>
                      <w:r w:rsidRPr="00915401">
                        <w:rPr>
                          <w:color w:val="000000" w:themeColor="text1"/>
                        </w:rPr>
                        <w:t xml:space="preserve"> application and execution of discipline in day-to-day business, starting in the beginning of the design phase all the way through the life cycle of the project</w:t>
                      </w:r>
                    </w:p>
                    <w:p w:rsidR="00175FA0" w:rsidRDefault="00175FA0" w:rsidP="00665E99">
                      <w:pPr>
                        <w:pStyle w:val="ListParagraph"/>
                        <w:numPr>
                          <w:ilvl w:val="0"/>
                          <w:numId w:val="29"/>
                        </w:numPr>
                        <w:jc w:val="left"/>
                        <w:rPr>
                          <w:color w:val="000000" w:themeColor="text1"/>
                        </w:rPr>
                      </w:pPr>
                      <w:r w:rsidRPr="00175FA0">
                        <w:rPr>
                          <w:color w:val="000000" w:themeColor="text1"/>
                        </w:rPr>
                        <w:t>High-level risks, as well as the mitigation plans, should be included in the BEPP,</w:t>
                      </w:r>
                      <w:r>
                        <w:rPr>
                          <w:color w:val="000000" w:themeColor="text1"/>
                        </w:rPr>
                        <w:t xml:space="preserve"> </w:t>
                      </w:r>
                      <w:r w:rsidRPr="00175FA0">
                        <w:rPr>
                          <w:color w:val="000000" w:themeColor="text1"/>
                        </w:rPr>
                        <w:t>especially where this is of significance to a potential investor</w:t>
                      </w:r>
                    </w:p>
                  </w:txbxContent>
                </v:textbox>
                <w10:wrap type="square" anchorx="margin"/>
              </v:roundrect>
            </w:pict>
          </mc:Fallback>
        </mc:AlternateContent>
      </w:r>
    </w:p>
    <w:p w:rsidR="009B4204" w:rsidRDefault="009B4204" w:rsidP="00451C25">
      <w:pPr>
        <w:keepNext/>
        <w:spacing w:before="120"/>
        <w:rPr>
          <w:rFonts w:cs="Arial"/>
          <w:szCs w:val="22"/>
        </w:rPr>
        <w:sectPr w:rsidR="009B4204" w:rsidSect="00AE6962">
          <w:footerReference w:type="default" r:id="rId52"/>
          <w:footerReference w:type="first" r:id="rId53"/>
          <w:pgSz w:w="11906" w:h="16838"/>
          <w:pgMar w:top="1304" w:right="1304" w:bottom="1304" w:left="1304" w:header="709" w:footer="709" w:gutter="0"/>
          <w:pgNumType w:start="1"/>
          <w:cols w:space="708"/>
          <w:docGrid w:linePitch="360"/>
        </w:sectPr>
      </w:pPr>
    </w:p>
    <w:p w:rsidR="002B6FDB" w:rsidRDefault="00634AD8" w:rsidP="00665E99">
      <w:pPr>
        <w:pStyle w:val="Heading3"/>
        <w:numPr>
          <w:ilvl w:val="0"/>
          <w:numId w:val="27"/>
        </w:numPr>
      </w:pPr>
      <w:bookmarkStart w:id="35" w:name="_Toc455995490"/>
      <w:r>
        <w:lastRenderedPageBreak/>
        <w:t>Conclusion</w:t>
      </w:r>
      <w:bookmarkEnd w:id="35"/>
      <w:r w:rsidR="00E229A7">
        <w:t xml:space="preserve"> </w:t>
      </w:r>
    </w:p>
    <w:p w:rsidR="00634AD8" w:rsidRDefault="00736590" w:rsidP="00227464">
      <w:r>
        <w:rPr>
          <w:noProof/>
          <w:lang w:eastAsia="en-ZA"/>
        </w:rPr>
        <w:drawing>
          <wp:inline distT="0" distB="0" distL="0" distR="0" wp14:anchorId="3DCE53BF" wp14:editId="140AF19F">
            <wp:extent cx="5915025" cy="4648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15025" cy="4648200"/>
                    </a:xfrm>
                    <a:prstGeom prst="rect">
                      <a:avLst/>
                    </a:prstGeom>
                  </pic:spPr>
                </pic:pic>
              </a:graphicData>
            </a:graphic>
          </wp:inline>
        </w:drawing>
      </w:r>
    </w:p>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634AD8" w:rsidRPr="00634AD8" w:rsidRDefault="00634AD8" w:rsidP="00634AD8"/>
    <w:p w:rsidR="00227464" w:rsidRPr="00634AD8" w:rsidRDefault="00227464" w:rsidP="00634AD8">
      <w:pPr>
        <w:jc w:val="center"/>
      </w:pPr>
    </w:p>
    <w:p w:rsidR="008F2F90" w:rsidRPr="008F2F90" w:rsidRDefault="008F2F90" w:rsidP="005E1606">
      <w:pPr>
        <w:spacing w:after="200" w:line="276" w:lineRule="auto"/>
        <w:rPr>
          <w:rStyle w:val="CommentReference"/>
          <w:rFonts w:ascii="Times New Roman" w:eastAsia="Times" w:hAnsi="Times New Roman"/>
          <w:b/>
          <w:noProof/>
          <w:vanish/>
          <w:kern w:val="32"/>
          <w:sz w:val="40"/>
          <w:szCs w:val="40"/>
          <w:lang w:val="en-GB"/>
        </w:rPr>
      </w:pPr>
      <w:bookmarkStart w:id="36" w:name="_Toc361251264"/>
      <w:bookmarkStart w:id="37" w:name="_Toc361504981"/>
      <w:bookmarkStart w:id="38" w:name="_Toc361592965"/>
      <w:bookmarkStart w:id="39" w:name="_Toc361594188"/>
      <w:bookmarkEnd w:id="36"/>
      <w:bookmarkEnd w:id="37"/>
      <w:bookmarkEnd w:id="38"/>
      <w:bookmarkEnd w:id="39"/>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p w:rsidR="008F2F90" w:rsidRPr="008F2F90" w:rsidRDefault="008F2F90" w:rsidP="00706449">
      <w:pPr>
        <w:pStyle w:val="ListParagraph"/>
        <w:numPr>
          <w:ilvl w:val="0"/>
          <w:numId w:val="1"/>
        </w:numPr>
        <w:ind w:hanging="720"/>
        <w:rPr>
          <w:rStyle w:val="CommentReference"/>
          <w:rFonts w:ascii="Times New Roman" w:eastAsia="Times" w:hAnsi="Times New Roman"/>
          <w:b/>
          <w:noProof/>
          <w:vanish/>
          <w:kern w:val="32"/>
          <w:sz w:val="40"/>
          <w:szCs w:val="40"/>
          <w:lang w:val="en-GB"/>
        </w:rPr>
      </w:pPr>
    </w:p>
    <w:sectPr w:rsidR="008F2F90" w:rsidRPr="008F2F90" w:rsidSect="00C70CD8">
      <w:footerReference w:type="default" r:id="rId55"/>
      <w:pgSz w:w="11906" w:h="16838"/>
      <w:pgMar w:top="1304" w:right="1304" w:bottom="1304"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6C4" w:rsidRDefault="009676C4" w:rsidP="00625AF6">
      <w:r>
        <w:separator/>
      </w:r>
    </w:p>
    <w:p w:rsidR="009676C4" w:rsidRDefault="009676C4"/>
  </w:endnote>
  <w:endnote w:type="continuationSeparator" w:id="0">
    <w:p w:rsidR="009676C4" w:rsidRDefault="009676C4" w:rsidP="00625AF6">
      <w:r>
        <w:continuationSeparator/>
      </w:r>
    </w:p>
    <w:p w:rsidR="009676C4" w:rsidRDefault="00967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Next Pro Bold">
    <w:altName w:val="Frutiger Next Pro Bold"/>
    <w:panose1 w:val="00000000000000000000"/>
    <w:charset w:val="00"/>
    <w:family w:val="swiss"/>
    <w:notTrueType/>
    <w:pitch w:val="default"/>
    <w:sig w:usb0="00000003" w:usb1="00000000" w:usb2="00000000" w:usb3="00000000" w:csb0="00000001" w:csb1="00000000"/>
  </w:font>
  <w:font w:name="Frutiger Next Pro Light">
    <w:altName w:val="Frutiger Next Pro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886707"/>
      <w:docPartObj>
        <w:docPartGallery w:val="Page Numbers (Bottom of Page)"/>
        <w:docPartUnique/>
      </w:docPartObj>
    </w:sdtPr>
    <w:sdtEndPr>
      <w:rPr>
        <w:color w:val="808080" w:themeColor="background1" w:themeShade="80"/>
        <w:spacing w:val="60"/>
      </w:rPr>
    </w:sdtEndPr>
    <w:sdtContent>
      <w:p w:rsidR="000A716A" w:rsidRDefault="000A716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940E3" w:rsidRPr="005940E3">
          <w:rPr>
            <w:b/>
            <w:bCs/>
            <w:noProof/>
          </w:rPr>
          <w:t>1</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t>BEPP Evaluation Report</w:t>
        </w:r>
      </w:p>
    </w:sdtContent>
  </w:sdt>
  <w:p w:rsidR="000A716A" w:rsidRDefault="000A71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4130715"/>
      <w:docPartObj>
        <w:docPartGallery w:val="Page Numbers (Bottom of Page)"/>
        <w:docPartUnique/>
      </w:docPartObj>
    </w:sdtPr>
    <w:sdtEndPr>
      <w:rPr>
        <w:color w:val="808080" w:themeColor="background1" w:themeShade="80"/>
        <w:spacing w:val="60"/>
      </w:rPr>
    </w:sdtEndPr>
    <w:sdtContent>
      <w:p w:rsidR="000A716A" w:rsidRDefault="000A716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AE6962">
          <w:rPr>
            <w:b/>
            <w:bCs/>
            <w:noProof/>
          </w:rPr>
          <w:t>1</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t>Budgeting</w:t>
        </w:r>
      </w:p>
    </w:sdtContent>
  </w:sdt>
  <w:p w:rsidR="000A716A" w:rsidRDefault="000A716A">
    <w:pPr>
      <w:pStyle w:val="Footer"/>
    </w:pPr>
    <w:r w:rsidRPr="003C6752">
      <w:rPr>
        <w:b/>
        <w:noProof/>
        <w:color w:val="1F497D"/>
        <w:sz w:val="52"/>
        <w:szCs w:val="52"/>
        <w:lang w:eastAsia="en-ZA"/>
      </w:rPr>
      <w:drawing>
        <wp:anchor distT="0" distB="0" distL="114300" distR="114300" simplePos="0" relativeHeight="251657728" behindDoc="0" locked="1" layoutInCell="1" allowOverlap="0" wp14:anchorId="3B7EF21D" wp14:editId="101B25AB">
          <wp:simplePos x="0" y="0"/>
          <wp:positionH relativeFrom="page">
            <wp:posOffset>6229350</wp:posOffset>
          </wp:positionH>
          <wp:positionV relativeFrom="page">
            <wp:posOffset>10291445</wp:posOffset>
          </wp:positionV>
          <wp:extent cx="1028700" cy="193675"/>
          <wp:effectExtent l="0" t="0" r="0" b="0"/>
          <wp:wrapNone/>
          <wp:docPr id="26" name="Picture 227" descr="Deloit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eloitt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93675"/>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16A" w:rsidRDefault="009676C4" w:rsidP="00C70CD8">
    <w:pPr>
      <w:pStyle w:val="Footer"/>
      <w:pBdr>
        <w:top w:val="single" w:sz="4" w:space="1" w:color="D9D9D9" w:themeColor="background1" w:themeShade="D9"/>
      </w:pBdr>
      <w:tabs>
        <w:tab w:val="clear" w:pos="9026"/>
        <w:tab w:val="left" w:pos="8640"/>
      </w:tabs>
      <w:rPr>
        <w:b/>
        <w:bCs/>
      </w:rPr>
    </w:pPr>
    <w:sdt>
      <w:sdtPr>
        <w:id w:val="828095379"/>
        <w:docPartObj>
          <w:docPartGallery w:val="Page Numbers (Bottom of Page)"/>
          <w:docPartUnique/>
        </w:docPartObj>
      </w:sdtPr>
      <w:sdtEndPr>
        <w:rPr>
          <w:color w:val="808080" w:themeColor="background1" w:themeShade="80"/>
          <w:spacing w:val="60"/>
        </w:rPr>
      </w:sdtEndPr>
      <w:sdtContent>
        <w:r w:rsidR="000A716A">
          <w:fldChar w:fldCharType="begin"/>
        </w:r>
        <w:r w:rsidR="000A716A">
          <w:instrText xml:space="preserve"> PAGE   \* MERGEFORMAT </w:instrText>
        </w:r>
        <w:r w:rsidR="000A716A">
          <w:fldChar w:fldCharType="separate"/>
        </w:r>
        <w:r w:rsidR="005940E3" w:rsidRPr="005940E3">
          <w:rPr>
            <w:b/>
            <w:bCs/>
            <w:noProof/>
          </w:rPr>
          <w:t>47</w:t>
        </w:r>
        <w:r w:rsidR="000A716A">
          <w:rPr>
            <w:b/>
            <w:bCs/>
            <w:noProof/>
          </w:rPr>
          <w:fldChar w:fldCharType="end"/>
        </w:r>
        <w:r w:rsidR="000A716A">
          <w:rPr>
            <w:b/>
            <w:bCs/>
          </w:rPr>
          <w:t xml:space="preserve"> | </w:t>
        </w:r>
        <w:r w:rsidR="000A716A">
          <w:rPr>
            <w:color w:val="808080" w:themeColor="background1" w:themeShade="80"/>
            <w:spacing w:val="60"/>
          </w:rPr>
          <w:t>Page</w:t>
        </w:r>
        <w:r w:rsidR="000A716A">
          <w:rPr>
            <w:color w:val="808080" w:themeColor="background1" w:themeShade="80"/>
            <w:spacing w:val="60"/>
          </w:rPr>
          <w:tab/>
        </w:r>
        <w:r w:rsidR="00634AD8">
          <w:rPr>
            <w:color w:val="808080" w:themeColor="background1" w:themeShade="80"/>
            <w:spacing w:val="60"/>
          </w:rPr>
          <w:t xml:space="preserve">2016/17 </w:t>
        </w:r>
        <w:r w:rsidR="000A716A">
          <w:rPr>
            <w:color w:val="808080" w:themeColor="background1" w:themeShade="80"/>
            <w:spacing w:val="60"/>
          </w:rPr>
          <w:t>BEPP Evaluation Report</w:t>
        </w:r>
      </w:sdtContent>
    </w:sdt>
    <w:r w:rsidR="000A716A">
      <w:rPr>
        <w:color w:val="808080" w:themeColor="background1" w:themeShade="80"/>
        <w:spacing w:val="60"/>
      </w:rPr>
      <w:tab/>
    </w:r>
  </w:p>
  <w:p w:rsidR="000A716A" w:rsidRDefault="000A71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6C4" w:rsidRDefault="009676C4" w:rsidP="00625AF6">
      <w:r>
        <w:separator/>
      </w:r>
    </w:p>
    <w:p w:rsidR="009676C4" w:rsidRDefault="009676C4"/>
  </w:footnote>
  <w:footnote w:type="continuationSeparator" w:id="0">
    <w:p w:rsidR="009676C4" w:rsidRDefault="009676C4" w:rsidP="00625AF6">
      <w:r>
        <w:continuationSeparator/>
      </w:r>
    </w:p>
    <w:p w:rsidR="009676C4" w:rsidRDefault="009676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6666"/>
    <w:multiLevelType w:val="hybridMultilevel"/>
    <w:tmpl w:val="8946AFDE"/>
    <w:lvl w:ilvl="0" w:tplc="62B893BE">
      <w:start w:val="1"/>
      <w:numFmt w:val="bullet"/>
      <w:pStyle w:val="ListBullet"/>
      <w:lvlText w:val=""/>
      <w:lvlJc w:val="left"/>
      <w:pPr>
        <w:tabs>
          <w:tab w:val="num" w:pos="340"/>
        </w:tabs>
        <w:ind w:left="340"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506B43"/>
    <w:multiLevelType w:val="hybridMultilevel"/>
    <w:tmpl w:val="6F3008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6BE512C"/>
    <w:multiLevelType w:val="hybridMultilevel"/>
    <w:tmpl w:val="B0B0F7C4"/>
    <w:lvl w:ilvl="0" w:tplc="1C090001">
      <w:start w:val="1"/>
      <w:numFmt w:val="bullet"/>
      <w:lvlText w:val=""/>
      <w:lvlJc w:val="left"/>
      <w:pPr>
        <w:tabs>
          <w:tab w:val="num" w:pos="360"/>
        </w:tabs>
        <w:ind w:left="360" w:hanging="360"/>
      </w:pPr>
      <w:rPr>
        <w:rFonts w:ascii="Symbol" w:hAnsi="Symbol" w:hint="default"/>
      </w:rPr>
    </w:lvl>
    <w:lvl w:ilvl="1" w:tplc="AB68343A" w:tentative="1">
      <w:start w:val="1"/>
      <w:numFmt w:val="bullet"/>
      <w:lvlText w:val="•"/>
      <w:lvlJc w:val="left"/>
      <w:pPr>
        <w:tabs>
          <w:tab w:val="num" w:pos="1080"/>
        </w:tabs>
        <w:ind w:left="1080" w:hanging="360"/>
      </w:pPr>
      <w:rPr>
        <w:rFonts w:ascii="Times New Roman" w:hAnsi="Times New Roman" w:hint="default"/>
      </w:rPr>
    </w:lvl>
    <w:lvl w:ilvl="2" w:tplc="DD2A2594" w:tentative="1">
      <w:start w:val="1"/>
      <w:numFmt w:val="bullet"/>
      <w:lvlText w:val="•"/>
      <w:lvlJc w:val="left"/>
      <w:pPr>
        <w:tabs>
          <w:tab w:val="num" w:pos="1800"/>
        </w:tabs>
        <w:ind w:left="1800" w:hanging="360"/>
      </w:pPr>
      <w:rPr>
        <w:rFonts w:ascii="Times New Roman" w:hAnsi="Times New Roman" w:hint="default"/>
      </w:rPr>
    </w:lvl>
    <w:lvl w:ilvl="3" w:tplc="EF38EDD6" w:tentative="1">
      <w:start w:val="1"/>
      <w:numFmt w:val="bullet"/>
      <w:lvlText w:val="•"/>
      <w:lvlJc w:val="left"/>
      <w:pPr>
        <w:tabs>
          <w:tab w:val="num" w:pos="2520"/>
        </w:tabs>
        <w:ind w:left="2520" w:hanging="360"/>
      </w:pPr>
      <w:rPr>
        <w:rFonts w:ascii="Times New Roman" w:hAnsi="Times New Roman" w:hint="default"/>
      </w:rPr>
    </w:lvl>
    <w:lvl w:ilvl="4" w:tplc="CF7EAA2C" w:tentative="1">
      <w:start w:val="1"/>
      <w:numFmt w:val="bullet"/>
      <w:lvlText w:val="•"/>
      <w:lvlJc w:val="left"/>
      <w:pPr>
        <w:tabs>
          <w:tab w:val="num" w:pos="3240"/>
        </w:tabs>
        <w:ind w:left="3240" w:hanging="360"/>
      </w:pPr>
      <w:rPr>
        <w:rFonts w:ascii="Times New Roman" w:hAnsi="Times New Roman" w:hint="default"/>
      </w:rPr>
    </w:lvl>
    <w:lvl w:ilvl="5" w:tplc="EBF6DA6C" w:tentative="1">
      <w:start w:val="1"/>
      <w:numFmt w:val="bullet"/>
      <w:lvlText w:val="•"/>
      <w:lvlJc w:val="left"/>
      <w:pPr>
        <w:tabs>
          <w:tab w:val="num" w:pos="3960"/>
        </w:tabs>
        <w:ind w:left="3960" w:hanging="360"/>
      </w:pPr>
      <w:rPr>
        <w:rFonts w:ascii="Times New Roman" w:hAnsi="Times New Roman" w:hint="default"/>
      </w:rPr>
    </w:lvl>
    <w:lvl w:ilvl="6" w:tplc="1952D5BC" w:tentative="1">
      <w:start w:val="1"/>
      <w:numFmt w:val="bullet"/>
      <w:lvlText w:val="•"/>
      <w:lvlJc w:val="left"/>
      <w:pPr>
        <w:tabs>
          <w:tab w:val="num" w:pos="4680"/>
        </w:tabs>
        <w:ind w:left="4680" w:hanging="360"/>
      </w:pPr>
      <w:rPr>
        <w:rFonts w:ascii="Times New Roman" w:hAnsi="Times New Roman" w:hint="default"/>
      </w:rPr>
    </w:lvl>
    <w:lvl w:ilvl="7" w:tplc="4D0C4894" w:tentative="1">
      <w:start w:val="1"/>
      <w:numFmt w:val="bullet"/>
      <w:lvlText w:val="•"/>
      <w:lvlJc w:val="left"/>
      <w:pPr>
        <w:tabs>
          <w:tab w:val="num" w:pos="5400"/>
        </w:tabs>
        <w:ind w:left="5400" w:hanging="360"/>
      </w:pPr>
      <w:rPr>
        <w:rFonts w:ascii="Times New Roman" w:hAnsi="Times New Roman" w:hint="default"/>
      </w:rPr>
    </w:lvl>
    <w:lvl w:ilvl="8" w:tplc="ADBCB264" w:tentative="1">
      <w:start w:val="1"/>
      <w:numFmt w:val="bullet"/>
      <w:lvlText w:val="•"/>
      <w:lvlJc w:val="left"/>
      <w:pPr>
        <w:tabs>
          <w:tab w:val="num" w:pos="6120"/>
        </w:tabs>
        <w:ind w:left="6120" w:hanging="360"/>
      </w:pPr>
      <w:rPr>
        <w:rFonts w:ascii="Times New Roman" w:hAnsi="Times New Roman" w:hint="default"/>
      </w:rPr>
    </w:lvl>
  </w:abstractNum>
  <w:abstractNum w:abstractNumId="3">
    <w:nsid w:val="0A2673AD"/>
    <w:multiLevelType w:val="hybridMultilevel"/>
    <w:tmpl w:val="FE7C913A"/>
    <w:lvl w:ilvl="0" w:tplc="1C090001">
      <w:start w:val="1"/>
      <w:numFmt w:val="bullet"/>
      <w:lvlText w:val=""/>
      <w:lvlJc w:val="left"/>
      <w:pPr>
        <w:tabs>
          <w:tab w:val="num" w:pos="720"/>
        </w:tabs>
        <w:ind w:left="720" w:hanging="360"/>
      </w:pPr>
      <w:rPr>
        <w:rFonts w:ascii="Symbol" w:hAnsi="Symbol" w:hint="default"/>
      </w:rPr>
    </w:lvl>
    <w:lvl w:ilvl="1" w:tplc="9B8CD32E" w:tentative="1">
      <w:start w:val="1"/>
      <w:numFmt w:val="bullet"/>
      <w:lvlText w:val="•"/>
      <w:lvlJc w:val="left"/>
      <w:pPr>
        <w:tabs>
          <w:tab w:val="num" w:pos="1440"/>
        </w:tabs>
        <w:ind w:left="1440" w:hanging="360"/>
      </w:pPr>
      <w:rPr>
        <w:rFonts w:ascii="Times New Roman" w:hAnsi="Times New Roman" w:hint="default"/>
      </w:rPr>
    </w:lvl>
    <w:lvl w:ilvl="2" w:tplc="12F6D5DE" w:tentative="1">
      <w:start w:val="1"/>
      <w:numFmt w:val="bullet"/>
      <w:lvlText w:val="•"/>
      <w:lvlJc w:val="left"/>
      <w:pPr>
        <w:tabs>
          <w:tab w:val="num" w:pos="2160"/>
        </w:tabs>
        <w:ind w:left="2160" w:hanging="360"/>
      </w:pPr>
      <w:rPr>
        <w:rFonts w:ascii="Times New Roman" w:hAnsi="Times New Roman" w:hint="default"/>
      </w:rPr>
    </w:lvl>
    <w:lvl w:ilvl="3" w:tplc="3FEC9576" w:tentative="1">
      <w:start w:val="1"/>
      <w:numFmt w:val="bullet"/>
      <w:lvlText w:val="•"/>
      <w:lvlJc w:val="left"/>
      <w:pPr>
        <w:tabs>
          <w:tab w:val="num" w:pos="2880"/>
        </w:tabs>
        <w:ind w:left="2880" w:hanging="360"/>
      </w:pPr>
      <w:rPr>
        <w:rFonts w:ascii="Times New Roman" w:hAnsi="Times New Roman" w:hint="default"/>
      </w:rPr>
    </w:lvl>
    <w:lvl w:ilvl="4" w:tplc="46384332" w:tentative="1">
      <w:start w:val="1"/>
      <w:numFmt w:val="bullet"/>
      <w:lvlText w:val="•"/>
      <w:lvlJc w:val="left"/>
      <w:pPr>
        <w:tabs>
          <w:tab w:val="num" w:pos="3600"/>
        </w:tabs>
        <w:ind w:left="3600" w:hanging="360"/>
      </w:pPr>
      <w:rPr>
        <w:rFonts w:ascii="Times New Roman" w:hAnsi="Times New Roman" w:hint="default"/>
      </w:rPr>
    </w:lvl>
    <w:lvl w:ilvl="5" w:tplc="4AFE70D4" w:tentative="1">
      <w:start w:val="1"/>
      <w:numFmt w:val="bullet"/>
      <w:lvlText w:val="•"/>
      <w:lvlJc w:val="left"/>
      <w:pPr>
        <w:tabs>
          <w:tab w:val="num" w:pos="4320"/>
        </w:tabs>
        <w:ind w:left="4320" w:hanging="360"/>
      </w:pPr>
      <w:rPr>
        <w:rFonts w:ascii="Times New Roman" w:hAnsi="Times New Roman" w:hint="default"/>
      </w:rPr>
    </w:lvl>
    <w:lvl w:ilvl="6" w:tplc="F13E6636" w:tentative="1">
      <w:start w:val="1"/>
      <w:numFmt w:val="bullet"/>
      <w:lvlText w:val="•"/>
      <w:lvlJc w:val="left"/>
      <w:pPr>
        <w:tabs>
          <w:tab w:val="num" w:pos="5040"/>
        </w:tabs>
        <w:ind w:left="5040" w:hanging="360"/>
      </w:pPr>
      <w:rPr>
        <w:rFonts w:ascii="Times New Roman" w:hAnsi="Times New Roman" w:hint="default"/>
      </w:rPr>
    </w:lvl>
    <w:lvl w:ilvl="7" w:tplc="9244C348" w:tentative="1">
      <w:start w:val="1"/>
      <w:numFmt w:val="bullet"/>
      <w:lvlText w:val="•"/>
      <w:lvlJc w:val="left"/>
      <w:pPr>
        <w:tabs>
          <w:tab w:val="num" w:pos="5760"/>
        </w:tabs>
        <w:ind w:left="5760" w:hanging="360"/>
      </w:pPr>
      <w:rPr>
        <w:rFonts w:ascii="Times New Roman" w:hAnsi="Times New Roman" w:hint="default"/>
      </w:rPr>
    </w:lvl>
    <w:lvl w:ilvl="8" w:tplc="2C46C22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6540EF"/>
    <w:multiLevelType w:val="hybridMultilevel"/>
    <w:tmpl w:val="129432FC"/>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5">
    <w:nsid w:val="1B374EC1"/>
    <w:multiLevelType w:val="hybridMultilevel"/>
    <w:tmpl w:val="0AE65D74"/>
    <w:lvl w:ilvl="0" w:tplc="1C090001">
      <w:start w:val="1"/>
      <w:numFmt w:val="bullet"/>
      <w:lvlText w:val=""/>
      <w:lvlJc w:val="left"/>
      <w:pPr>
        <w:ind w:left="36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785CDE50">
      <w:numFmt w:val="bullet"/>
      <w:lvlText w:val="–"/>
      <w:lvlJc w:val="left"/>
      <w:pPr>
        <w:ind w:left="2160" w:hanging="360"/>
      </w:pPr>
      <w:rPr>
        <w:rFonts w:ascii="Arial" w:eastAsia="Times New Roman" w:hAnsi="Arial" w:cs="Arial" w:hint="default"/>
      </w:rPr>
    </w:lvl>
    <w:lvl w:ilvl="3" w:tplc="E4C8651A">
      <w:numFmt w:val="bullet"/>
      <w:lvlText w:val="•"/>
      <w:lvlJc w:val="left"/>
      <w:pPr>
        <w:ind w:left="2880" w:hanging="360"/>
      </w:pPr>
      <w:rPr>
        <w:rFonts w:ascii="Arial" w:eastAsia="Times New Roman" w:hAnsi="Arial" w:cs="Aria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EA434BD"/>
    <w:multiLevelType w:val="hybridMultilevel"/>
    <w:tmpl w:val="DE5037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1F152095"/>
    <w:multiLevelType w:val="hybridMultilevel"/>
    <w:tmpl w:val="3B1E3D0E"/>
    <w:lvl w:ilvl="0" w:tplc="1C090001">
      <w:start w:val="1"/>
      <w:numFmt w:val="bullet"/>
      <w:lvlText w:val=""/>
      <w:lvlJc w:val="left"/>
      <w:pPr>
        <w:ind w:left="360" w:hanging="360"/>
      </w:pPr>
      <w:rPr>
        <w:rFonts w:ascii="Symbol" w:hAnsi="Symbol" w:hint="default"/>
      </w:rPr>
    </w:lvl>
    <w:lvl w:ilvl="1" w:tplc="1C090005">
      <w:start w:val="1"/>
      <w:numFmt w:val="bullet"/>
      <w:lvlText w:val=""/>
      <w:lvlJc w:val="left"/>
      <w:pPr>
        <w:ind w:left="1440" w:hanging="360"/>
      </w:pPr>
      <w:rPr>
        <w:rFonts w:ascii="Wingdings" w:hAnsi="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7A47016"/>
    <w:multiLevelType w:val="hybridMultilevel"/>
    <w:tmpl w:val="77CAFD4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27A77446"/>
    <w:multiLevelType w:val="multilevel"/>
    <w:tmpl w:val="F26CAA72"/>
    <w:lvl w:ilvl="0">
      <w:start w:val="1"/>
      <w:numFmt w:val="decimal"/>
      <w:lvlText w:val="%1."/>
      <w:lvlJc w:val="left"/>
      <w:pPr>
        <w:ind w:left="360" w:hanging="360"/>
      </w:pPr>
    </w:lvl>
    <w:lvl w:ilvl="1">
      <w:start w:val="1"/>
      <w:numFmt w:val="decimal"/>
      <w:pStyle w:val="Heading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C648D9"/>
    <w:multiLevelType w:val="hybridMultilevel"/>
    <w:tmpl w:val="BF1E903A"/>
    <w:lvl w:ilvl="0" w:tplc="1C09001B">
      <w:start w:val="1"/>
      <w:numFmt w:val="lowerRoman"/>
      <w:lvlText w:val="%1."/>
      <w:lvlJc w:val="right"/>
      <w:pPr>
        <w:ind w:left="1512" w:hanging="360"/>
      </w:pPr>
    </w:lvl>
    <w:lvl w:ilvl="1" w:tplc="1C090019" w:tentative="1">
      <w:start w:val="1"/>
      <w:numFmt w:val="lowerLetter"/>
      <w:lvlText w:val="%2."/>
      <w:lvlJc w:val="left"/>
      <w:pPr>
        <w:ind w:left="2232" w:hanging="360"/>
      </w:pPr>
    </w:lvl>
    <w:lvl w:ilvl="2" w:tplc="1C09001B" w:tentative="1">
      <w:start w:val="1"/>
      <w:numFmt w:val="lowerRoman"/>
      <w:lvlText w:val="%3."/>
      <w:lvlJc w:val="right"/>
      <w:pPr>
        <w:ind w:left="2952" w:hanging="180"/>
      </w:pPr>
    </w:lvl>
    <w:lvl w:ilvl="3" w:tplc="1C09000F" w:tentative="1">
      <w:start w:val="1"/>
      <w:numFmt w:val="decimal"/>
      <w:lvlText w:val="%4."/>
      <w:lvlJc w:val="left"/>
      <w:pPr>
        <w:ind w:left="3672" w:hanging="360"/>
      </w:pPr>
    </w:lvl>
    <w:lvl w:ilvl="4" w:tplc="1C090019" w:tentative="1">
      <w:start w:val="1"/>
      <w:numFmt w:val="lowerLetter"/>
      <w:lvlText w:val="%5."/>
      <w:lvlJc w:val="left"/>
      <w:pPr>
        <w:ind w:left="4392" w:hanging="360"/>
      </w:pPr>
    </w:lvl>
    <w:lvl w:ilvl="5" w:tplc="1C09001B" w:tentative="1">
      <w:start w:val="1"/>
      <w:numFmt w:val="lowerRoman"/>
      <w:lvlText w:val="%6."/>
      <w:lvlJc w:val="right"/>
      <w:pPr>
        <w:ind w:left="5112" w:hanging="180"/>
      </w:pPr>
    </w:lvl>
    <w:lvl w:ilvl="6" w:tplc="1C09000F" w:tentative="1">
      <w:start w:val="1"/>
      <w:numFmt w:val="decimal"/>
      <w:lvlText w:val="%7."/>
      <w:lvlJc w:val="left"/>
      <w:pPr>
        <w:ind w:left="5832" w:hanging="360"/>
      </w:pPr>
    </w:lvl>
    <w:lvl w:ilvl="7" w:tplc="1C090019" w:tentative="1">
      <w:start w:val="1"/>
      <w:numFmt w:val="lowerLetter"/>
      <w:lvlText w:val="%8."/>
      <w:lvlJc w:val="left"/>
      <w:pPr>
        <w:ind w:left="6552" w:hanging="360"/>
      </w:pPr>
    </w:lvl>
    <w:lvl w:ilvl="8" w:tplc="1C09001B" w:tentative="1">
      <w:start w:val="1"/>
      <w:numFmt w:val="lowerRoman"/>
      <w:lvlText w:val="%9."/>
      <w:lvlJc w:val="right"/>
      <w:pPr>
        <w:ind w:left="7272" w:hanging="180"/>
      </w:pPr>
    </w:lvl>
  </w:abstractNum>
  <w:abstractNum w:abstractNumId="11">
    <w:nsid w:val="2E245230"/>
    <w:multiLevelType w:val="multilevel"/>
    <w:tmpl w:val="19E25C7A"/>
    <w:lvl w:ilvl="0">
      <w:start w:val="1"/>
      <w:numFmt w:val="decimal"/>
      <w:lvlText w:val="%1."/>
      <w:lvlJc w:val="left"/>
      <w:pPr>
        <w:ind w:left="360" w:hanging="360"/>
      </w:p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312158"/>
    <w:multiLevelType w:val="hybridMultilevel"/>
    <w:tmpl w:val="BAEEE32A"/>
    <w:lvl w:ilvl="0" w:tplc="1C090005">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3">
    <w:nsid w:val="2F812EE7"/>
    <w:multiLevelType w:val="hybridMultilevel"/>
    <w:tmpl w:val="17347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23D005A"/>
    <w:multiLevelType w:val="multilevel"/>
    <w:tmpl w:val="3920FA1C"/>
    <w:lvl w:ilvl="0">
      <w:start w:val="1"/>
      <w:numFmt w:val="bullet"/>
      <w:lvlText w:val=""/>
      <w:lvlJc w:val="left"/>
      <w:pPr>
        <w:ind w:left="450" w:hanging="450"/>
      </w:pPr>
      <w:rPr>
        <w:rFonts w:ascii="Wingdings" w:hAnsi="Wingdings" w:hint="default"/>
      </w:rPr>
    </w:lvl>
    <w:lvl w:ilvl="1">
      <w:start w:val="1"/>
      <w:numFmt w:val="bullet"/>
      <w:lvlText w:val=""/>
      <w:lvlJc w:val="left"/>
      <w:pPr>
        <w:ind w:left="1080" w:hanging="720"/>
      </w:pPr>
      <w:rPr>
        <w:rFonts w:ascii="Wingdings" w:hAnsi="Wingdings" w:hint="default"/>
      </w:rPr>
    </w:lvl>
    <w:lvl w:ilvl="2">
      <w:start w:val="1"/>
      <w:numFmt w:val="bullet"/>
      <w:lvlText w:val=""/>
      <w:lvlJc w:val="left"/>
      <w:pPr>
        <w:ind w:left="1800" w:hanging="1080"/>
      </w:pPr>
      <w:rPr>
        <w:rFonts w:ascii="Wingdings" w:hAnsi="Wingding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
    <w:nsid w:val="32872B2B"/>
    <w:multiLevelType w:val="multilevel"/>
    <w:tmpl w:val="8E20FEAE"/>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
    <w:nsid w:val="34333E2C"/>
    <w:multiLevelType w:val="hybridMultilevel"/>
    <w:tmpl w:val="BDDE638C"/>
    <w:lvl w:ilvl="0" w:tplc="1C090001">
      <w:start w:val="1"/>
      <w:numFmt w:val="bullet"/>
      <w:lvlText w:val=""/>
      <w:lvlJc w:val="left"/>
      <w:pPr>
        <w:tabs>
          <w:tab w:val="num" w:pos="360"/>
        </w:tabs>
        <w:ind w:left="360" w:hanging="360"/>
      </w:pPr>
      <w:rPr>
        <w:rFonts w:ascii="Symbol" w:hAnsi="Symbol" w:hint="default"/>
      </w:rPr>
    </w:lvl>
    <w:lvl w:ilvl="1" w:tplc="1250F754" w:tentative="1">
      <w:start w:val="1"/>
      <w:numFmt w:val="bullet"/>
      <w:lvlText w:val="•"/>
      <w:lvlJc w:val="left"/>
      <w:pPr>
        <w:tabs>
          <w:tab w:val="num" w:pos="1080"/>
        </w:tabs>
        <w:ind w:left="1080" w:hanging="360"/>
      </w:pPr>
      <w:rPr>
        <w:rFonts w:ascii="Times New Roman" w:hAnsi="Times New Roman" w:hint="default"/>
      </w:rPr>
    </w:lvl>
    <w:lvl w:ilvl="2" w:tplc="E0B2A852" w:tentative="1">
      <w:start w:val="1"/>
      <w:numFmt w:val="bullet"/>
      <w:lvlText w:val="•"/>
      <w:lvlJc w:val="left"/>
      <w:pPr>
        <w:tabs>
          <w:tab w:val="num" w:pos="1800"/>
        </w:tabs>
        <w:ind w:left="1800" w:hanging="360"/>
      </w:pPr>
      <w:rPr>
        <w:rFonts w:ascii="Times New Roman" w:hAnsi="Times New Roman" w:hint="default"/>
      </w:rPr>
    </w:lvl>
    <w:lvl w:ilvl="3" w:tplc="CD4A2CB2" w:tentative="1">
      <w:start w:val="1"/>
      <w:numFmt w:val="bullet"/>
      <w:lvlText w:val="•"/>
      <w:lvlJc w:val="left"/>
      <w:pPr>
        <w:tabs>
          <w:tab w:val="num" w:pos="2520"/>
        </w:tabs>
        <w:ind w:left="2520" w:hanging="360"/>
      </w:pPr>
      <w:rPr>
        <w:rFonts w:ascii="Times New Roman" w:hAnsi="Times New Roman" w:hint="default"/>
      </w:rPr>
    </w:lvl>
    <w:lvl w:ilvl="4" w:tplc="F4B2D9EC" w:tentative="1">
      <w:start w:val="1"/>
      <w:numFmt w:val="bullet"/>
      <w:lvlText w:val="•"/>
      <w:lvlJc w:val="left"/>
      <w:pPr>
        <w:tabs>
          <w:tab w:val="num" w:pos="3240"/>
        </w:tabs>
        <w:ind w:left="3240" w:hanging="360"/>
      </w:pPr>
      <w:rPr>
        <w:rFonts w:ascii="Times New Roman" w:hAnsi="Times New Roman" w:hint="default"/>
      </w:rPr>
    </w:lvl>
    <w:lvl w:ilvl="5" w:tplc="E55CB25A" w:tentative="1">
      <w:start w:val="1"/>
      <w:numFmt w:val="bullet"/>
      <w:lvlText w:val="•"/>
      <w:lvlJc w:val="left"/>
      <w:pPr>
        <w:tabs>
          <w:tab w:val="num" w:pos="3960"/>
        </w:tabs>
        <w:ind w:left="3960" w:hanging="360"/>
      </w:pPr>
      <w:rPr>
        <w:rFonts w:ascii="Times New Roman" w:hAnsi="Times New Roman" w:hint="default"/>
      </w:rPr>
    </w:lvl>
    <w:lvl w:ilvl="6" w:tplc="D3F28804" w:tentative="1">
      <w:start w:val="1"/>
      <w:numFmt w:val="bullet"/>
      <w:lvlText w:val="•"/>
      <w:lvlJc w:val="left"/>
      <w:pPr>
        <w:tabs>
          <w:tab w:val="num" w:pos="4680"/>
        </w:tabs>
        <w:ind w:left="4680" w:hanging="360"/>
      </w:pPr>
      <w:rPr>
        <w:rFonts w:ascii="Times New Roman" w:hAnsi="Times New Roman" w:hint="default"/>
      </w:rPr>
    </w:lvl>
    <w:lvl w:ilvl="7" w:tplc="68BECC34" w:tentative="1">
      <w:start w:val="1"/>
      <w:numFmt w:val="bullet"/>
      <w:lvlText w:val="•"/>
      <w:lvlJc w:val="left"/>
      <w:pPr>
        <w:tabs>
          <w:tab w:val="num" w:pos="5400"/>
        </w:tabs>
        <w:ind w:left="5400" w:hanging="360"/>
      </w:pPr>
      <w:rPr>
        <w:rFonts w:ascii="Times New Roman" w:hAnsi="Times New Roman" w:hint="default"/>
      </w:rPr>
    </w:lvl>
    <w:lvl w:ilvl="8" w:tplc="700841BA" w:tentative="1">
      <w:start w:val="1"/>
      <w:numFmt w:val="bullet"/>
      <w:lvlText w:val="•"/>
      <w:lvlJc w:val="left"/>
      <w:pPr>
        <w:tabs>
          <w:tab w:val="num" w:pos="6120"/>
        </w:tabs>
        <w:ind w:left="6120" w:hanging="360"/>
      </w:pPr>
      <w:rPr>
        <w:rFonts w:ascii="Times New Roman" w:hAnsi="Times New Roman" w:hint="default"/>
      </w:rPr>
    </w:lvl>
  </w:abstractNum>
  <w:abstractNum w:abstractNumId="17">
    <w:nsid w:val="36615E10"/>
    <w:multiLevelType w:val="hybridMultilevel"/>
    <w:tmpl w:val="A09613F2"/>
    <w:lvl w:ilvl="0" w:tplc="9F982BAE">
      <w:start w:val="1"/>
      <w:numFmt w:val="decimal"/>
      <w:lvlText w:val="%1."/>
      <w:lvlJc w:val="left"/>
      <w:pPr>
        <w:ind w:left="720" w:hanging="360"/>
      </w:pPr>
      <w:rPr>
        <w:b w:val="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39E305EA"/>
    <w:multiLevelType w:val="multilevel"/>
    <w:tmpl w:val="79D099B0"/>
    <w:lvl w:ilvl="0">
      <w:start w:val="1"/>
      <w:numFmt w:val="bullet"/>
      <w:lvlText w:val=""/>
      <w:lvlJc w:val="left"/>
      <w:pPr>
        <w:ind w:left="450" w:hanging="450"/>
      </w:pPr>
      <w:rPr>
        <w:rFonts w:ascii="Wingdings" w:hAnsi="Wingding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
    <w:nsid w:val="40BC1DBB"/>
    <w:multiLevelType w:val="hybridMultilevel"/>
    <w:tmpl w:val="A57644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440B1607"/>
    <w:multiLevelType w:val="hybridMultilevel"/>
    <w:tmpl w:val="B4301AA6"/>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45EE6E4C"/>
    <w:multiLevelType w:val="hybridMultilevel"/>
    <w:tmpl w:val="322C0C4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7CD3E13"/>
    <w:multiLevelType w:val="hybridMultilevel"/>
    <w:tmpl w:val="4BD0D23A"/>
    <w:lvl w:ilvl="0" w:tplc="1C090003">
      <w:start w:val="1"/>
      <w:numFmt w:val="bullet"/>
      <w:lvlText w:val="o"/>
      <w:lvlJc w:val="left"/>
      <w:pPr>
        <w:ind w:left="720" w:hanging="72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4A1B3EA9"/>
    <w:multiLevelType w:val="hybridMultilevel"/>
    <w:tmpl w:val="15B65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DA1F20"/>
    <w:multiLevelType w:val="multilevel"/>
    <w:tmpl w:val="6F44F140"/>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nsid w:val="4D050105"/>
    <w:multiLevelType w:val="hybridMultilevel"/>
    <w:tmpl w:val="BAFCE3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4F276368"/>
    <w:multiLevelType w:val="multilevel"/>
    <w:tmpl w:val="8E20FEAE"/>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7">
    <w:nsid w:val="5B1B6C99"/>
    <w:multiLevelType w:val="hybridMultilevel"/>
    <w:tmpl w:val="4832FAA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FC00937"/>
    <w:multiLevelType w:val="hybridMultilevel"/>
    <w:tmpl w:val="DD045CE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64D50858"/>
    <w:multiLevelType w:val="hybridMultilevel"/>
    <w:tmpl w:val="BDD40808"/>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68A7D95"/>
    <w:multiLevelType w:val="hybridMultilevel"/>
    <w:tmpl w:val="DCC0378A"/>
    <w:lvl w:ilvl="0" w:tplc="A606A6A0">
      <w:start w:val="1"/>
      <w:numFmt w:val="decimal"/>
      <w:pStyle w:val="Heading3"/>
      <w:lvlText w:val="%1."/>
      <w:lvlJc w:val="left"/>
      <w:pPr>
        <w:ind w:left="720" w:hanging="360"/>
      </w:pPr>
    </w:lvl>
    <w:lvl w:ilvl="1" w:tplc="1C090019">
      <w:start w:val="1"/>
      <w:numFmt w:val="lowerLetter"/>
      <w:lvlText w:val="%2."/>
      <w:lvlJc w:val="left"/>
      <w:pPr>
        <w:ind w:left="1440" w:hanging="360"/>
      </w:pPr>
    </w:lvl>
    <w:lvl w:ilvl="2" w:tplc="AD424B6A">
      <w:start w:val="1"/>
      <w:numFmt w:val="lowerLetter"/>
      <w:lvlText w:val="%3)"/>
      <w:lvlJc w:val="left"/>
      <w:pPr>
        <w:ind w:left="2340" w:hanging="360"/>
      </w:pPr>
      <w:rPr>
        <w:rFonts w:hint="default"/>
      </w:r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6EF20058"/>
    <w:multiLevelType w:val="hybridMultilevel"/>
    <w:tmpl w:val="E2E4F35A"/>
    <w:lvl w:ilvl="0" w:tplc="63BED520">
      <w:start w:val="1"/>
      <w:numFmt w:val="lowerLetter"/>
      <w:pStyle w:val="Heading6"/>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nsid w:val="78CF7211"/>
    <w:multiLevelType w:val="hybridMultilevel"/>
    <w:tmpl w:val="AEEE92F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7B9A1F8A"/>
    <w:multiLevelType w:val="multilevel"/>
    <w:tmpl w:val="C0E814FE"/>
    <w:lvl w:ilvl="0">
      <w:start w:val="1"/>
      <w:numFmt w:val="bullet"/>
      <w:lvlText w:val=""/>
      <w:lvlJc w:val="left"/>
      <w:pPr>
        <w:ind w:left="450" w:hanging="450"/>
      </w:pPr>
      <w:rPr>
        <w:rFonts w:ascii="Wingdings" w:hAnsi="Wingdings" w:hint="default"/>
      </w:rPr>
    </w:lvl>
    <w:lvl w:ilvl="1">
      <w:start w:val="1"/>
      <w:numFmt w:val="bullet"/>
      <w:lvlText w:val=""/>
      <w:lvlJc w:val="left"/>
      <w:pPr>
        <w:ind w:left="1080" w:hanging="720"/>
      </w:pPr>
      <w:rPr>
        <w:rFonts w:ascii="Wingdings" w:hAnsi="Wingding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4">
    <w:nsid w:val="7D631B3D"/>
    <w:multiLevelType w:val="multilevel"/>
    <w:tmpl w:val="9E580610"/>
    <w:lvl w:ilvl="0">
      <w:start w:val="1"/>
      <w:numFmt w:val="lowerLetter"/>
      <w:pStyle w:val="Heading7"/>
      <w:lvlText w:val="%1."/>
      <w:lvlJc w:val="left"/>
      <w:pPr>
        <w:ind w:left="6173"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DC07D14"/>
    <w:multiLevelType w:val="hybridMultilevel"/>
    <w:tmpl w:val="D5F6BE8E"/>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27"/>
  </w:num>
  <w:num w:numId="2">
    <w:abstractNumId w:val="31"/>
  </w:num>
  <w:num w:numId="3">
    <w:abstractNumId w:val="0"/>
  </w:num>
  <w:num w:numId="4">
    <w:abstractNumId w:val="34"/>
  </w:num>
  <w:num w:numId="5">
    <w:abstractNumId w:val="9"/>
  </w:num>
  <w:num w:numId="6">
    <w:abstractNumId w:val="11"/>
  </w:num>
  <w:num w:numId="7">
    <w:abstractNumId w:val="23"/>
  </w:num>
  <w:num w:numId="8">
    <w:abstractNumId w:val="4"/>
  </w:num>
  <w:num w:numId="9">
    <w:abstractNumId w:val="5"/>
  </w:num>
  <w:num w:numId="10">
    <w:abstractNumId w:val="2"/>
  </w:num>
  <w:num w:numId="11">
    <w:abstractNumId w:val="1"/>
  </w:num>
  <w:num w:numId="12">
    <w:abstractNumId w:val="19"/>
  </w:num>
  <w:num w:numId="13">
    <w:abstractNumId w:val="32"/>
  </w:num>
  <w:num w:numId="14">
    <w:abstractNumId w:val="3"/>
  </w:num>
  <w:num w:numId="15">
    <w:abstractNumId w:val="25"/>
  </w:num>
  <w:num w:numId="16">
    <w:abstractNumId w:val="30"/>
  </w:num>
  <w:num w:numId="17">
    <w:abstractNumId w:val="24"/>
  </w:num>
  <w:num w:numId="18">
    <w:abstractNumId w:val="26"/>
  </w:num>
  <w:num w:numId="19">
    <w:abstractNumId w:val="16"/>
  </w:num>
  <w:num w:numId="20">
    <w:abstractNumId w:val="8"/>
  </w:num>
  <w:num w:numId="21">
    <w:abstractNumId w:val="6"/>
  </w:num>
  <w:num w:numId="22">
    <w:abstractNumId w:val="13"/>
  </w:num>
  <w:num w:numId="23">
    <w:abstractNumId w:val="22"/>
  </w:num>
  <w:num w:numId="24">
    <w:abstractNumId w:val="20"/>
  </w:num>
  <w:num w:numId="25">
    <w:abstractNumId w:val="21"/>
  </w:num>
  <w:num w:numId="26">
    <w:abstractNumId w:val="7"/>
  </w:num>
  <w:num w:numId="27">
    <w:abstractNumId w:val="15"/>
  </w:num>
  <w:num w:numId="28">
    <w:abstractNumId w:val="29"/>
  </w:num>
  <w:num w:numId="29">
    <w:abstractNumId w:val="33"/>
  </w:num>
  <w:num w:numId="30">
    <w:abstractNumId w:val="18"/>
  </w:num>
  <w:num w:numId="31">
    <w:abstractNumId w:val="28"/>
  </w:num>
  <w:num w:numId="32">
    <w:abstractNumId w:val="14"/>
  </w:num>
  <w:num w:numId="33">
    <w:abstractNumId w:val="35"/>
  </w:num>
  <w:num w:numId="34">
    <w:abstractNumId w:val="12"/>
  </w:num>
  <w:num w:numId="35">
    <w:abstractNumId w:val="17"/>
  </w:num>
  <w:num w:numId="36">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D5"/>
    <w:rsid w:val="0000540F"/>
    <w:rsid w:val="000068AA"/>
    <w:rsid w:val="00007853"/>
    <w:rsid w:val="00007B09"/>
    <w:rsid w:val="0001213D"/>
    <w:rsid w:val="00012902"/>
    <w:rsid w:val="00014F1D"/>
    <w:rsid w:val="000173E0"/>
    <w:rsid w:val="00022FC3"/>
    <w:rsid w:val="00024087"/>
    <w:rsid w:val="0002432E"/>
    <w:rsid w:val="00025E56"/>
    <w:rsid w:val="00026458"/>
    <w:rsid w:val="000301C3"/>
    <w:rsid w:val="00031A56"/>
    <w:rsid w:val="00034E30"/>
    <w:rsid w:val="000367D1"/>
    <w:rsid w:val="00037066"/>
    <w:rsid w:val="00037E2C"/>
    <w:rsid w:val="00041A7E"/>
    <w:rsid w:val="0004613C"/>
    <w:rsid w:val="00046594"/>
    <w:rsid w:val="00053E62"/>
    <w:rsid w:val="000541EE"/>
    <w:rsid w:val="00055E6E"/>
    <w:rsid w:val="00056187"/>
    <w:rsid w:val="00057505"/>
    <w:rsid w:val="00057816"/>
    <w:rsid w:val="00061983"/>
    <w:rsid w:val="00063A27"/>
    <w:rsid w:val="00065258"/>
    <w:rsid w:val="0006569D"/>
    <w:rsid w:val="00066D8F"/>
    <w:rsid w:val="00070EE7"/>
    <w:rsid w:val="000721B5"/>
    <w:rsid w:val="00073A1E"/>
    <w:rsid w:val="0007489E"/>
    <w:rsid w:val="0007683B"/>
    <w:rsid w:val="00077292"/>
    <w:rsid w:val="00077EEE"/>
    <w:rsid w:val="000842D9"/>
    <w:rsid w:val="000845A4"/>
    <w:rsid w:val="000866F7"/>
    <w:rsid w:val="00086E88"/>
    <w:rsid w:val="00087B82"/>
    <w:rsid w:val="000906D6"/>
    <w:rsid w:val="00092CE6"/>
    <w:rsid w:val="00093761"/>
    <w:rsid w:val="000937D8"/>
    <w:rsid w:val="00096BF4"/>
    <w:rsid w:val="00096D55"/>
    <w:rsid w:val="000A468F"/>
    <w:rsid w:val="000A5087"/>
    <w:rsid w:val="000A6315"/>
    <w:rsid w:val="000A716A"/>
    <w:rsid w:val="000A7550"/>
    <w:rsid w:val="000A77BC"/>
    <w:rsid w:val="000B28D9"/>
    <w:rsid w:val="000B3C80"/>
    <w:rsid w:val="000B41FA"/>
    <w:rsid w:val="000B577D"/>
    <w:rsid w:val="000B756F"/>
    <w:rsid w:val="000C277E"/>
    <w:rsid w:val="000C4B3A"/>
    <w:rsid w:val="000C5EB0"/>
    <w:rsid w:val="000D1C65"/>
    <w:rsid w:val="000D293F"/>
    <w:rsid w:val="000D29E7"/>
    <w:rsid w:val="000D4F67"/>
    <w:rsid w:val="000D5DF5"/>
    <w:rsid w:val="000D7329"/>
    <w:rsid w:val="000D786A"/>
    <w:rsid w:val="000D7999"/>
    <w:rsid w:val="000D7CA5"/>
    <w:rsid w:val="000E4EA9"/>
    <w:rsid w:val="000E56E9"/>
    <w:rsid w:val="000E5E85"/>
    <w:rsid w:val="000E7B35"/>
    <w:rsid w:val="000F0E85"/>
    <w:rsid w:val="000F2A0E"/>
    <w:rsid w:val="001024DA"/>
    <w:rsid w:val="00105F82"/>
    <w:rsid w:val="00110F5D"/>
    <w:rsid w:val="00111D17"/>
    <w:rsid w:val="00113381"/>
    <w:rsid w:val="001171DB"/>
    <w:rsid w:val="0011725B"/>
    <w:rsid w:val="001203BA"/>
    <w:rsid w:val="00121BA2"/>
    <w:rsid w:val="0012421E"/>
    <w:rsid w:val="00126FC0"/>
    <w:rsid w:val="00127315"/>
    <w:rsid w:val="00130413"/>
    <w:rsid w:val="00130719"/>
    <w:rsid w:val="00131968"/>
    <w:rsid w:val="0013284C"/>
    <w:rsid w:val="001344BB"/>
    <w:rsid w:val="00134D80"/>
    <w:rsid w:val="00140D4E"/>
    <w:rsid w:val="00141959"/>
    <w:rsid w:val="00144447"/>
    <w:rsid w:val="0014456D"/>
    <w:rsid w:val="001506BE"/>
    <w:rsid w:val="00152795"/>
    <w:rsid w:val="00153289"/>
    <w:rsid w:val="00153F16"/>
    <w:rsid w:val="00156329"/>
    <w:rsid w:val="00160DE3"/>
    <w:rsid w:val="00161599"/>
    <w:rsid w:val="00163874"/>
    <w:rsid w:val="00166DF4"/>
    <w:rsid w:val="00166FCA"/>
    <w:rsid w:val="00167C07"/>
    <w:rsid w:val="0017025B"/>
    <w:rsid w:val="001725B7"/>
    <w:rsid w:val="001730C2"/>
    <w:rsid w:val="00174476"/>
    <w:rsid w:val="00175FA0"/>
    <w:rsid w:val="00184751"/>
    <w:rsid w:val="0018668E"/>
    <w:rsid w:val="00186B61"/>
    <w:rsid w:val="00187586"/>
    <w:rsid w:val="00187CB7"/>
    <w:rsid w:val="00191AE6"/>
    <w:rsid w:val="00191FB4"/>
    <w:rsid w:val="001950E9"/>
    <w:rsid w:val="00196988"/>
    <w:rsid w:val="00196DC9"/>
    <w:rsid w:val="001A0A54"/>
    <w:rsid w:val="001A1391"/>
    <w:rsid w:val="001A3853"/>
    <w:rsid w:val="001A489F"/>
    <w:rsid w:val="001A5197"/>
    <w:rsid w:val="001A588D"/>
    <w:rsid w:val="001B06E4"/>
    <w:rsid w:val="001B1D93"/>
    <w:rsid w:val="001B2BA3"/>
    <w:rsid w:val="001B4173"/>
    <w:rsid w:val="001B4396"/>
    <w:rsid w:val="001B46B9"/>
    <w:rsid w:val="001B5A09"/>
    <w:rsid w:val="001B5B77"/>
    <w:rsid w:val="001C0C72"/>
    <w:rsid w:val="001C1152"/>
    <w:rsid w:val="001C1FDA"/>
    <w:rsid w:val="001C2266"/>
    <w:rsid w:val="001C4EC2"/>
    <w:rsid w:val="001C5A41"/>
    <w:rsid w:val="001C7C78"/>
    <w:rsid w:val="001C7FCF"/>
    <w:rsid w:val="001D1D66"/>
    <w:rsid w:val="001D2997"/>
    <w:rsid w:val="001D2EBF"/>
    <w:rsid w:val="001D3245"/>
    <w:rsid w:val="001D4A21"/>
    <w:rsid w:val="001D4C8A"/>
    <w:rsid w:val="001D591D"/>
    <w:rsid w:val="001D5B11"/>
    <w:rsid w:val="001E45A3"/>
    <w:rsid w:val="001E6F65"/>
    <w:rsid w:val="001F3487"/>
    <w:rsid w:val="001F364C"/>
    <w:rsid w:val="001F36FE"/>
    <w:rsid w:val="001F380E"/>
    <w:rsid w:val="002015CF"/>
    <w:rsid w:val="00203035"/>
    <w:rsid w:val="00204740"/>
    <w:rsid w:val="00211F49"/>
    <w:rsid w:val="002140ED"/>
    <w:rsid w:val="002153BF"/>
    <w:rsid w:val="002154C7"/>
    <w:rsid w:val="002224EA"/>
    <w:rsid w:val="00224222"/>
    <w:rsid w:val="002244A6"/>
    <w:rsid w:val="00224547"/>
    <w:rsid w:val="00224FDA"/>
    <w:rsid w:val="00227464"/>
    <w:rsid w:val="00230372"/>
    <w:rsid w:val="00230F3C"/>
    <w:rsid w:val="00232A24"/>
    <w:rsid w:val="00241017"/>
    <w:rsid w:val="0024170F"/>
    <w:rsid w:val="00242D01"/>
    <w:rsid w:val="002433E2"/>
    <w:rsid w:val="00244866"/>
    <w:rsid w:val="002448B3"/>
    <w:rsid w:val="00244ED0"/>
    <w:rsid w:val="00247BF1"/>
    <w:rsid w:val="00247F58"/>
    <w:rsid w:val="002604CC"/>
    <w:rsid w:val="00260BFA"/>
    <w:rsid w:val="00261342"/>
    <w:rsid w:val="0026397F"/>
    <w:rsid w:val="002641F0"/>
    <w:rsid w:val="002642F6"/>
    <w:rsid w:val="00265B87"/>
    <w:rsid w:val="00266A39"/>
    <w:rsid w:val="00266D48"/>
    <w:rsid w:val="00270A06"/>
    <w:rsid w:val="00271191"/>
    <w:rsid w:val="00272B38"/>
    <w:rsid w:val="002822A9"/>
    <w:rsid w:val="00282391"/>
    <w:rsid w:val="0028381E"/>
    <w:rsid w:val="00285B5C"/>
    <w:rsid w:val="00286993"/>
    <w:rsid w:val="00292A6F"/>
    <w:rsid w:val="00292E9E"/>
    <w:rsid w:val="002931C7"/>
    <w:rsid w:val="0029341E"/>
    <w:rsid w:val="00293A4E"/>
    <w:rsid w:val="00294799"/>
    <w:rsid w:val="00294D0E"/>
    <w:rsid w:val="0029529C"/>
    <w:rsid w:val="002A1A87"/>
    <w:rsid w:val="002A2670"/>
    <w:rsid w:val="002A4091"/>
    <w:rsid w:val="002A4208"/>
    <w:rsid w:val="002A5398"/>
    <w:rsid w:val="002B2559"/>
    <w:rsid w:val="002B5527"/>
    <w:rsid w:val="002B5763"/>
    <w:rsid w:val="002B5DA7"/>
    <w:rsid w:val="002B6FDB"/>
    <w:rsid w:val="002C17AF"/>
    <w:rsid w:val="002C2D00"/>
    <w:rsid w:val="002C33BD"/>
    <w:rsid w:val="002C409D"/>
    <w:rsid w:val="002D0A01"/>
    <w:rsid w:val="002D0CDA"/>
    <w:rsid w:val="002D0DB7"/>
    <w:rsid w:val="002D1B4F"/>
    <w:rsid w:val="002D4212"/>
    <w:rsid w:val="002D470C"/>
    <w:rsid w:val="002E5A3A"/>
    <w:rsid w:val="002E5DAD"/>
    <w:rsid w:val="002E6866"/>
    <w:rsid w:val="002E761D"/>
    <w:rsid w:val="002E77FC"/>
    <w:rsid w:val="002F1DC3"/>
    <w:rsid w:val="002F3709"/>
    <w:rsid w:val="002F38FA"/>
    <w:rsid w:val="002F438B"/>
    <w:rsid w:val="002F64E2"/>
    <w:rsid w:val="002F6B4A"/>
    <w:rsid w:val="00300876"/>
    <w:rsid w:val="003008D8"/>
    <w:rsid w:val="00305CE0"/>
    <w:rsid w:val="00306871"/>
    <w:rsid w:val="00307074"/>
    <w:rsid w:val="003102F6"/>
    <w:rsid w:val="0031055E"/>
    <w:rsid w:val="003115D5"/>
    <w:rsid w:val="00311A3A"/>
    <w:rsid w:val="003130CC"/>
    <w:rsid w:val="00314CA0"/>
    <w:rsid w:val="00315393"/>
    <w:rsid w:val="0031560C"/>
    <w:rsid w:val="00317CAA"/>
    <w:rsid w:val="0032136C"/>
    <w:rsid w:val="003249D8"/>
    <w:rsid w:val="00325339"/>
    <w:rsid w:val="003256CB"/>
    <w:rsid w:val="003268BF"/>
    <w:rsid w:val="00327840"/>
    <w:rsid w:val="0033263F"/>
    <w:rsid w:val="00333C9A"/>
    <w:rsid w:val="003350B8"/>
    <w:rsid w:val="00335830"/>
    <w:rsid w:val="00335ACB"/>
    <w:rsid w:val="00336D7C"/>
    <w:rsid w:val="003400A5"/>
    <w:rsid w:val="00340E48"/>
    <w:rsid w:val="00341B15"/>
    <w:rsid w:val="00341FD2"/>
    <w:rsid w:val="00343193"/>
    <w:rsid w:val="003437B8"/>
    <w:rsid w:val="003438D7"/>
    <w:rsid w:val="00346411"/>
    <w:rsid w:val="00346ECE"/>
    <w:rsid w:val="00351A46"/>
    <w:rsid w:val="00355403"/>
    <w:rsid w:val="00355729"/>
    <w:rsid w:val="00355BB9"/>
    <w:rsid w:val="00363358"/>
    <w:rsid w:val="00370B87"/>
    <w:rsid w:val="003714EA"/>
    <w:rsid w:val="003756B6"/>
    <w:rsid w:val="003761E5"/>
    <w:rsid w:val="003805EA"/>
    <w:rsid w:val="003809CA"/>
    <w:rsid w:val="0038229B"/>
    <w:rsid w:val="00384A4C"/>
    <w:rsid w:val="00385F15"/>
    <w:rsid w:val="003915F4"/>
    <w:rsid w:val="00391746"/>
    <w:rsid w:val="00395FCF"/>
    <w:rsid w:val="00396E43"/>
    <w:rsid w:val="00397E06"/>
    <w:rsid w:val="003A1FAE"/>
    <w:rsid w:val="003A2755"/>
    <w:rsid w:val="003A4225"/>
    <w:rsid w:val="003A470E"/>
    <w:rsid w:val="003A503D"/>
    <w:rsid w:val="003A7DB5"/>
    <w:rsid w:val="003B0D1E"/>
    <w:rsid w:val="003B2284"/>
    <w:rsid w:val="003B2634"/>
    <w:rsid w:val="003B4C7B"/>
    <w:rsid w:val="003B57BF"/>
    <w:rsid w:val="003C6752"/>
    <w:rsid w:val="003C701C"/>
    <w:rsid w:val="003C764C"/>
    <w:rsid w:val="003C780B"/>
    <w:rsid w:val="003D0A91"/>
    <w:rsid w:val="003D0CE9"/>
    <w:rsid w:val="003D1663"/>
    <w:rsid w:val="003D2665"/>
    <w:rsid w:val="003D286A"/>
    <w:rsid w:val="003D4BF4"/>
    <w:rsid w:val="003D585D"/>
    <w:rsid w:val="003E0528"/>
    <w:rsid w:val="003E11C4"/>
    <w:rsid w:val="003E2508"/>
    <w:rsid w:val="003E2D3B"/>
    <w:rsid w:val="003E7CE7"/>
    <w:rsid w:val="003F19BF"/>
    <w:rsid w:val="003F26FD"/>
    <w:rsid w:val="003F2948"/>
    <w:rsid w:val="003F2CA2"/>
    <w:rsid w:val="003F3163"/>
    <w:rsid w:val="003F387E"/>
    <w:rsid w:val="003F4270"/>
    <w:rsid w:val="003F5EEB"/>
    <w:rsid w:val="003F6268"/>
    <w:rsid w:val="003F67C0"/>
    <w:rsid w:val="003F6ACA"/>
    <w:rsid w:val="003F7C6F"/>
    <w:rsid w:val="00401CA6"/>
    <w:rsid w:val="004061A7"/>
    <w:rsid w:val="00407653"/>
    <w:rsid w:val="00411982"/>
    <w:rsid w:val="00411D16"/>
    <w:rsid w:val="00411E04"/>
    <w:rsid w:val="00415606"/>
    <w:rsid w:val="00415785"/>
    <w:rsid w:val="004212F1"/>
    <w:rsid w:val="0042218C"/>
    <w:rsid w:val="00424782"/>
    <w:rsid w:val="004271AB"/>
    <w:rsid w:val="00427B22"/>
    <w:rsid w:val="00430374"/>
    <w:rsid w:val="004304B1"/>
    <w:rsid w:val="00431041"/>
    <w:rsid w:val="00432BA9"/>
    <w:rsid w:val="00434015"/>
    <w:rsid w:val="00434139"/>
    <w:rsid w:val="00436E21"/>
    <w:rsid w:val="004406CD"/>
    <w:rsid w:val="00442E97"/>
    <w:rsid w:val="004468B7"/>
    <w:rsid w:val="004506BB"/>
    <w:rsid w:val="00451C25"/>
    <w:rsid w:val="0045286A"/>
    <w:rsid w:val="004544E0"/>
    <w:rsid w:val="0045473F"/>
    <w:rsid w:val="004547F6"/>
    <w:rsid w:val="004564DD"/>
    <w:rsid w:val="0046281A"/>
    <w:rsid w:val="0046355F"/>
    <w:rsid w:val="00465E50"/>
    <w:rsid w:val="004675F8"/>
    <w:rsid w:val="00467C93"/>
    <w:rsid w:val="00474848"/>
    <w:rsid w:val="00474A41"/>
    <w:rsid w:val="00474BE2"/>
    <w:rsid w:val="004754A9"/>
    <w:rsid w:val="00480260"/>
    <w:rsid w:val="00480E0E"/>
    <w:rsid w:val="004831F8"/>
    <w:rsid w:val="004835BC"/>
    <w:rsid w:val="00486A7D"/>
    <w:rsid w:val="004872B5"/>
    <w:rsid w:val="00493895"/>
    <w:rsid w:val="00494060"/>
    <w:rsid w:val="0049773A"/>
    <w:rsid w:val="004A06DF"/>
    <w:rsid w:val="004A0B54"/>
    <w:rsid w:val="004A2A7B"/>
    <w:rsid w:val="004A41E5"/>
    <w:rsid w:val="004A7270"/>
    <w:rsid w:val="004B4B9D"/>
    <w:rsid w:val="004B68F4"/>
    <w:rsid w:val="004C0061"/>
    <w:rsid w:val="004C5BB0"/>
    <w:rsid w:val="004C6320"/>
    <w:rsid w:val="004D1BEE"/>
    <w:rsid w:val="004D3FE6"/>
    <w:rsid w:val="004D6ABD"/>
    <w:rsid w:val="004D6DC2"/>
    <w:rsid w:val="004D7A3F"/>
    <w:rsid w:val="004E16D0"/>
    <w:rsid w:val="004E1755"/>
    <w:rsid w:val="004E261A"/>
    <w:rsid w:val="004E4D55"/>
    <w:rsid w:val="004E6FCA"/>
    <w:rsid w:val="004F288E"/>
    <w:rsid w:val="004F28FC"/>
    <w:rsid w:val="004F2CA2"/>
    <w:rsid w:val="004F4C36"/>
    <w:rsid w:val="004F564D"/>
    <w:rsid w:val="004F5EAE"/>
    <w:rsid w:val="004F7345"/>
    <w:rsid w:val="004F7DF2"/>
    <w:rsid w:val="005000D3"/>
    <w:rsid w:val="00501609"/>
    <w:rsid w:val="00506462"/>
    <w:rsid w:val="00506D90"/>
    <w:rsid w:val="00507B75"/>
    <w:rsid w:val="0051066D"/>
    <w:rsid w:val="00510905"/>
    <w:rsid w:val="00512011"/>
    <w:rsid w:val="00512A9D"/>
    <w:rsid w:val="00513165"/>
    <w:rsid w:val="005153BE"/>
    <w:rsid w:val="00516037"/>
    <w:rsid w:val="00516B8D"/>
    <w:rsid w:val="00516E80"/>
    <w:rsid w:val="0052150C"/>
    <w:rsid w:val="00521ED1"/>
    <w:rsid w:val="00527F21"/>
    <w:rsid w:val="005312CF"/>
    <w:rsid w:val="005368F7"/>
    <w:rsid w:val="00537916"/>
    <w:rsid w:val="00541980"/>
    <w:rsid w:val="0054199C"/>
    <w:rsid w:val="00543628"/>
    <w:rsid w:val="00543661"/>
    <w:rsid w:val="00544243"/>
    <w:rsid w:val="00544B42"/>
    <w:rsid w:val="0054512E"/>
    <w:rsid w:val="00547B17"/>
    <w:rsid w:val="0055012F"/>
    <w:rsid w:val="0055329A"/>
    <w:rsid w:val="005543B9"/>
    <w:rsid w:val="0055606B"/>
    <w:rsid w:val="00556BC8"/>
    <w:rsid w:val="005572FA"/>
    <w:rsid w:val="005601A4"/>
    <w:rsid w:val="00562DB7"/>
    <w:rsid w:val="00563B0A"/>
    <w:rsid w:val="0056522C"/>
    <w:rsid w:val="00565A7A"/>
    <w:rsid w:val="00567818"/>
    <w:rsid w:val="00567B17"/>
    <w:rsid w:val="005704C3"/>
    <w:rsid w:val="005712C9"/>
    <w:rsid w:val="00572AE2"/>
    <w:rsid w:val="005742E3"/>
    <w:rsid w:val="0057435A"/>
    <w:rsid w:val="005752B8"/>
    <w:rsid w:val="00580EF3"/>
    <w:rsid w:val="005815C4"/>
    <w:rsid w:val="00582D50"/>
    <w:rsid w:val="00584A19"/>
    <w:rsid w:val="00584F4F"/>
    <w:rsid w:val="00584F5D"/>
    <w:rsid w:val="00585F33"/>
    <w:rsid w:val="005940E3"/>
    <w:rsid w:val="005A1BF6"/>
    <w:rsid w:val="005A37A5"/>
    <w:rsid w:val="005A611A"/>
    <w:rsid w:val="005B29E0"/>
    <w:rsid w:val="005B2FAE"/>
    <w:rsid w:val="005B49FD"/>
    <w:rsid w:val="005B4CD6"/>
    <w:rsid w:val="005B626D"/>
    <w:rsid w:val="005B659E"/>
    <w:rsid w:val="005C199F"/>
    <w:rsid w:val="005C3EEC"/>
    <w:rsid w:val="005C5709"/>
    <w:rsid w:val="005D0217"/>
    <w:rsid w:val="005D3CDB"/>
    <w:rsid w:val="005D3EB3"/>
    <w:rsid w:val="005D61B2"/>
    <w:rsid w:val="005E0818"/>
    <w:rsid w:val="005E099F"/>
    <w:rsid w:val="005E1606"/>
    <w:rsid w:val="005E1BE4"/>
    <w:rsid w:val="005E2C54"/>
    <w:rsid w:val="005E7FAB"/>
    <w:rsid w:val="005F3B2E"/>
    <w:rsid w:val="005F3DF7"/>
    <w:rsid w:val="005F49B5"/>
    <w:rsid w:val="00600EC7"/>
    <w:rsid w:val="00601E56"/>
    <w:rsid w:val="006021F3"/>
    <w:rsid w:val="00603905"/>
    <w:rsid w:val="00603BE5"/>
    <w:rsid w:val="0060481C"/>
    <w:rsid w:val="00604A1E"/>
    <w:rsid w:val="00607553"/>
    <w:rsid w:val="0060798C"/>
    <w:rsid w:val="00607B55"/>
    <w:rsid w:val="00611237"/>
    <w:rsid w:val="006123F5"/>
    <w:rsid w:val="006156DC"/>
    <w:rsid w:val="00615DB6"/>
    <w:rsid w:val="00616AC7"/>
    <w:rsid w:val="00616F88"/>
    <w:rsid w:val="00623148"/>
    <w:rsid w:val="00625AF6"/>
    <w:rsid w:val="00626C01"/>
    <w:rsid w:val="00634AD8"/>
    <w:rsid w:val="0063554F"/>
    <w:rsid w:val="00643867"/>
    <w:rsid w:val="0064705F"/>
    <w:rsid w:val="00650165"/>
    <w:rsid w:val="00657199"/>
    <w:rsid w:val="00662B8B"/>
    <w:rsid w:val="00663388"/>
    <w:rsid w:val="00665450"/>
    <w:rsid w:val="00665E99"/>
    <w:rsid w:val="00670451"/>
    <w:rsid w:val="00670506"/>
    <w:rsid w:val="00671F21"/>
    <w:rsid w:val="00673305"/>
    <w:rsid w:val="00674589"/>
    <w:rsid w:val="00674875"/>
    <w:rsid w:val="00675B20"/>
    <w:rsid w:val="0067609A"/>
    <w:rsid w:val="00676DE4"/>
    <w:rsid w:val="00681D67"/>
    <w:rsid w:val="00682312"/>
    <w:rsid w:val="0068490D"/>
    <w:rsid w:val="00685391"/>
    <w:rsid w:val="006878C2"/>
    <w:rsid w:val="006A0475"/>
    <w:rsid w:val="006A09ED"/>
    <w:rsid w:val="006A1D01"/>
    <w:rsid w:val="006A1D7A"/>
    <w:rsid w:val="006A72CC"/>
    <w:rsid w:val="006B030E"/>
    <w:rsid w:val="006B2766"/>
    <w:rsid w:val="006B362B"/>
    <w:rsid w:val="006B3669"/>
    <w:rsid w:val="006B4B3F"/>
    <w:rsid w:val="006B78BB"/>
    <w:rsid w:val="006C08DC"/>
    <w:rsid w:val="006C19D6"/>
    <w:rsid w:val="006C3220"/>
    <w:rsid w:val="006C3F69"/>
    <w:rsid w:val="006D0AB2"/>
    <w:rsid w:val="006D46A3"/>
    <w:rsid w:val="006D55E2"/>
    <w:rsid w:val="006D7AE4"/>
    <w:rsid w:val="006E3178"/>
    <w:rsid w:val="006E3951"/>
    <w:rsid w:val="006E3F4A"/>
    <w:rsid w:val="006E42A6"/>
    <w:rsid w:val="006E437F"/>
    <w:rsid w:val="006E6BC5"/>
    <w:rsid w:val="006E6E0F"/>
    <w:rsid w:val="006F2615"/>
    <w:rsid w:val="00701718"/>
    <w:rsid w:val="0070350E"/>
    <w:rsid w:val="007057C3"/>
    <w:rsid w:val="007059A3"/>
    <w:rsid w:val="0070641D"/>
    <w:rsid w:val="00706449"/>
    <w:rsid w:val="007067E5"/>
    <w:rsid w:val="00706AB8"/>
    <w:rsid w:val="00714446"/>
    <w:rsid w:val="00714580"/>
    <w:rsid w:val="00715211"/>
    <w:rsid w:val="00717442"/>
    <w:rsid w:val="00717978"/>
    <w:rsid w:val="00717D1E"/>
    <w:rsid w:val="0072018F"/>
    <w:rsid w:val="00721AC3"/>
    <w:rsid w:val="00724517"/>
    <w:rsid w:val="00725A8B"/>
    <w:rsid w:val="00732DE8"/>
    <w:rsid w:val="00733A78"/>
    <w:rsid w:val="00733DE9"/>
    <w:rsid w:val="0073490D"/>
    <w:rsid w:val="00736590"/>
    <w:rsid w:val="0074154E"/>
    <w:rsid w:val="00742279"/>
    <w:rsid w:val="007441F0"/>
    <w:rsid w:val="00744705"/>
    <w:rsid w:val="007460F3"/>
    <w:rsid w:val="007502D4"/>
    <w:rsid w:val="0075165B"/>
    <w:rsid w:val="00761EC3"/>
    <w:rsid w:val="00762700"/>
    <w:rsid w:val="00763641"/>
    <w:rsid w:val="00764C89"/>
    <w:rsid w:val="00766AE4"/>
    <w:rsid w:val="00767257"/>
    <w:rsid w:val="007723F2"/>
    <w:rsid w:val="007726C5"/>
    <w:rsid w:val="00772A20"/>
    <w:rsid w:val="00772AC9"/>
    <w:rsid w:val="00772BEC"/>
    <w:rsid w:val="00773429"/>
    <w:rsid w:val="00773983"/>
    <w:rsid w:val="00774397"/>
    <w:rsid w:val="007744F0"/>
    <w:rsid w:val="00777801"/>
    <w:rsid w:val="00777A6A"/>
    <w:rsid w:val="0078093B"/>
    <w:rsid w:val="00782C1E"/>
    <w:rsid w:val="0078409C"/>
    <w:rsid w:val="00784464"/>
    <w:rsid w:val="007844FB"/>
    <w:rsid w:val="00786057"/>
    <w:rsid w:val="007864AD"/>
    <w:rsid w:val="007869CB"/>
    <w:rsid w:val="007879C4"/>
    <w:rsid w:val="00790066"/>
    <w:rsid w:val="00792A31"/>
    <w:rsid w:val="00793822"/>
    <w:rsid w:val="007A13F3"/>
    <w:rsid w:val="007A1AD5"/>
    <w:rsid w:val="007B1937"/>
    <w:rsid w:val="007B22E4"/>
    <w:rsid w:val="007B57FD"/>
    <w:rsid w:val="007C01A9"/>
    <w:rsid w:val="007C3330"/>
    <w:rsid w:val="007C57BA"/>
    <w:rsid w:val="007C656C"/>
    <w:rsid w:val="007C7548"/>
    <w:rsid w:val="007C781E"/>
    <w:rsid w:val="007C7A9E"/>
    <w:rsid w:val="007C7B51"/>
    <w:rsid w:val="007C7E9E"/>
    <w:rsid w:val="007D1D3B"/>
    <w:rsid w:val="007D2AB1"/>
    <w:rsid w:val="007D39C8"/>
    <w:rsid w:val="007D39D3"/>
    <w:rsid w:val="007D5716"/>
    <w:rsid w:val="007D5D50"/>
    <w:rsid w:val="007D5E21"/>
    <w:rsid w:val="007D7386"/>
    <w:rsid w:val="007E2880"/>
    <w:rsid w:val="007E2AEB"/>
    <w:rsid w:val="007E5369"/>
    <w:rsid w:val="007E5C4B"/>
    <w:rsid w:val="007E70D0"/>
    <w:rsid w:val="007F0664"/>
    <w:rsid w:val="007F0D8A"/>
    <w:rsid w:val="007F1837"/>
    <w:rsid w:val="007F1CC6"/>
    <w:rsid w:val="007F2190"/>
    <w:rsid w:val="007F22E1"/>
    <w:rsid w:val="007F6729"/>
    <w:rsid w:val="008019B1"/>
    <w:rsid w:val="00802E8D"/>
    <w:rsid w:val="00803F14"/>
    <w:rsid w:val="00805406"/>
    <w:rsid w:val="00805979"/>
    <w:rsid w:val="008077DC"/>
    <w:rsid w:val="00810604"/>
    <w:rsid w:val="00810D77"/>
    <w:rsid w:val="00814339"/>
    <w:rsid w:val="00814D79"/>
    <w:rsid w:val="008202E3"/>
    <w:rsid w:val="00820D8B"/>
    <w:rsid w:val="00821A1F"/>
    <w:rsid w:val="00823209"/>
    <w:rsid w:val="00823B81"/>
    <w:rsid w:val="00823BF1"/>
    <w:rsid w:val="00825074"/>
    <w:rsid w:val="00826603"/>
    <w:rsid w:val="00827DF0"/>
    <w:rsid w:val="00831693"/>
    <w:rsid w:val="00832F0B"/>
    <w:rsid w:val="00833340"/>
    <w:rsid w:val="0083339D"/>
    <w:rsid w:val="00833DFA"/>
    <w:rsid w:val="00834C9A"/>
    <w:rsid w:val="008371BC"/>
    <w:rsid w:val="00843A56"/>
    <w:rsid w:val="00843E42"/>
    <w:rsid w:val="00845D21"/>
    <w:rsid w:val="00845DF0"/>
    <w:rsid w:val="008460F0"/>
    <w:rsid w:val="00850398"/>
    <w:rsid w:val="00854354"/>
    <w:rsid w:val="0085442B"/>
    <w:rsid w:val="0086106E"/>
    <w:rsid w:val="00863A99"/>
    <w:rsid w:val="00864213"/>
    <w:rsid w:val="00865381"/>
    <w:rsid w:val="008672B2"/>
    <w:rsid w:val="00870486"/>
    <w:rsid w:val="008722E2"/>
    <w:rsid w:val="00873791"/>
    <w:rsid w:val="00874FD1"/>
    <w:rsid w:val="00875381"/>
    <w:rsid w:val="00877B77"/>
    <w:rsid w:val="00880362"/>
    <w:rsid w:val="008814F2"/>
    <w:rsid w:val="00881692"/>
    <w:rsid w:val="0088219C"/>
    <w:rsid w:val="00882EA0"/>
    <w:rsid w:val="00885D12"/>
    <w:rsid w:val="0088732C"/>
    <w:rsid w:val="008876F7"/>
    <w:rsid w:val="008929A8"/>
    <w:rsid w:val="008964AC"/>
    <w:rsid w:val="008A2F2D"/>
    <w:rsid w:val="008A3BEF"/>
    <w:rsid w:val="008A50D5"/>
    <w:rsid w:val="008A7189"/>
    <w:rsid w:val="008B2C09"/>
    <w:rsid w:val="008B4C13"/>
    <w:rsid w:val="008B6162"/>
    <w:rsid w:val="008B6F33"/>
    <w:rsid w:val="008B775B"/>
    <w:rsid w:val="008B7A76"/>
    <w:rsid w:val="008C1450"/>
    <w:rsid w:val="008C1C03"/>
    <w:rsid w:val="008C21A8"/>
    <w:rsid w:val="008C45B7"/>
    <w:rsid w:val="008C48C6"/>
    <w:rsid w:val="008C4FAE"/>
    <w:rsid w:val="008C5336"/>
    <w:rsid w:val="008C5A5D"/>
    <w:rsid w:val="008C5CD5"/>
    <w:rsid w:val="008D01E1"/>
    <w:rsid w:val="008D4800"/>
    <w:rsid w:val="008D5CCD"/>
    <w:rsid w:val="008D6B49"/>
    <w:rsid w:val="008E0A43"/>
    <w:rsid w:val="008E26B4"/>
    <w:rsid w:val="008E3B35"/>
    <w:rsid w:val="008E4CDF"/>
    <w:rsid w:val="008E5C0A"/>
    <w:rsid w:val="008E6DDE"/>
    <w:rsid w:val="008E6F31"/>
    <w:rsid w:val="008F213E"/>
    <w:rsid w:val="008F2F90"/>
    <w:rsid w:val="008F2FD7"/>
    <w:rsid w:val="008F4D06"/>
    <w:rsid w:val="008F713A"/>
    <w:rsid w:val="009019D4"/>
    <w:rsid w:val="00901DAD"/>
    <w:rsid w:val="00910713"/>
    <w:rsid w:val="009108E9"/>
    <w:rsid w:val="009136E7"/>
    <w:rsid w:val="00913A52"/>
    <w:rsid w:val="00914EF8"/>
    <w:rsid w:val="00915401"/>
    <w:rsid w:val="00915DF0"/>
    <w:rsid w:val="00920D90"/>
    <w:rsid w:val="00921EC0"/>
    <w:rsid w:val="00922125"/>
    <w:rsid w:val="00927118"/>
    <w:rsid w:val="00930972"/>
    <w:rsid w:val="00930D65"/>
    <w:rsid w:val="00932FF4"/>
    <w:rsid w:val="00942F07"/>
    <w:rsid w:val="009440DD"/>
    <w:rsid w:val="0094680A"/>
    <w:rsid w:val="00947267"/>
    <w:rsid w:val="009500F7"/>
    <w:rsid w:val="009525F0"/>
    <w:rsid w:val="009534DA"/>
    <w:rsid w:val="00955084"/>
    <w:rsid w:val="009552A1"/>
    <w:rsid w:val="00957FA3"/>
    <w:rsid w:val="009626D1"/>
    <w:rsid w:val="00963229"/>
    <w:rsid w:val="00964391"/>
    <w:rsid w:val="0096457D"/>
    <w:rsid w:val="0096528F"/>
    <w:rsid w:val="0096622E"/>
    <w:rsid w:val="009676C4"/>
    <w:rsid w:val="00967BD1"/>
    <w:rsid w:val="00967C51"/>
    <w:rsid w:val="009710B5"/>
    <w:rsid w:val="00971CB1"/>
    <w:rsid w:val="009728C3"/>
    <w:rsid w:val="009728F7"/>
    <w:rsid w:val="00975DAB"/>
    <w:rsid w:val="00976973"/>
    <w:rsid w:val="009777D9"/>
    <w:rsid w:val="00983FA8"/>
    <w:rsid w:val="00986E0B"/>
    <w:rsid w:val="009901D9"/>
    <w:rsid w:val="009909C5"/>
    <w:rsid w:val="00991095"/>
    <w:rsid w:val="009914E1"/>
    <w:rsid w:val="0099255A"/>
    <w:rsid w:val="00992728"/>
    <w:rsid w:val="00995402"/>
    <w:rsid w:val="009A32FF"/>
    <w:rsid w:val="009A46F2"/>
    <w:rsid w:val="009A54BD"/>
    <w:rsid w:val="009B0761"/>
    <w:rsid w:val="009B38DC"/>
    <w:rsid w:val="009B4204"/>
    <w:rsid w:val="009B45B1"/>
    <w:rsid w:val="009B5879"/>
    <w:rsid w:val="009B6713"/>
    <w:rsid w:val="009B6D30"/>
    <w:rsid w:val="009B7FFE"/>
    <w:rsid w:val="009C101A"/>
    <w:rsid w:val="009C443E"/>
    <w:rsid w:val="009C53BF"/>
    <w:rsid w:val="009C5428"/>
    <w:rsid w:val="009C7A43"/>
    <w:rsid w:val="009D02D0"/>
    <w:rsid w:val="009D1955"/>
    <w:rsid w:val="009D287B"/>
    <w:rsid w:val="009D371B"/>
    <w:rsid w:val="009D479E"/>
    <w:rsid w:val="009D6609"/>
    <w:rsid w:val="009D7EDF"/>
    <w:rsid w:val="009E0FEC"/>
    <w:rsid w:val="009E12D8"/>
    <w:rsid w:val="009E3F41"/>
    <w:rsid w:val="009E7820"/>
    <w:rsid w:val="009F12DB"/>
    <w:rsid w:val="009F2FE0"/>
    <w:rsid w:val="009F31F2"/>
    <w:rsid w:val="009F371E"/>
    <w:rsid w:val="009F44B1"/>
    <w:rsid w:val="009F460D"/>
    <w:rsid w:val="00A00EC0"/>
    <w:rsid w:val="00A01920"/>
    <w:rsid w:val="00A03D91"/>
    <w:rsid w:val="00A06841"/>
    <w:rsid w:val="00A112A4"/>
    <w:rsid w:val="00A1689E"/>
    <w:rsid w:val="00A20803"/>
    <w:rsid w:val="00A20D45"/>
    <w:rsid w:val="00A22A43"/>
    <w:rsid w:val="00A2307D"/>
    <w:rsid w:val="00A23542"/>
    <w:rsid w:val="00A265B4"/>
    <w:rsid w:val="00A3066C"/>
    <w:rsid w:val="00A307D9"/>
    <w:rsid w:val="00A31B9F"/>
    <w:rsid w:val="00A3235A"/>
    <w:rsid w:val="00A3456A"/>
    <w:rsid w:val="00A43DEF"/>
    <w:rsid w:val="00A468A7"/>
    <w:rsid w:val="00A52631"/>
    <w:rsid w:val="00A5578A"/>
    <w:rsid w:val="00A56D56"/>
    <w:rsid w:val="00A6039D"/>
    <w:rsid w:val="00A61731"/>
    <w:rsid w:val="00A617F9"/>
    <w:rsid w:val="00A61C39"/>
    <w:rsid w:val="00A6327E"/>
    <w:rsid w:val="00A67D58"/>
    <w:rsid w:val="00A707B7"/>
    <w:rsid w:val="00A71DE7"/>
    <w:rsid w:val="00A71DFB"/>
    <w:rsid w:val="00A72CE9"/>
    <w:rsid w:val="00A73E06"/>
    <w:rsid w:val="00A754F9"/>
    <w:rsid w:val="00A75920"/>
    <w:rsid w:val="00A75B56"/>
    <w:rsid w:val="00A81925"/>
    <w:rsid w:val="00A81AFE"/>
    <w:rsid w:val="00A82A30"/>
    <w:rsid w:val="00A83B6B"/>
    <w:rsid w:val="00A8682F"/>
    <w:rsid w:val="00A87A94"/>
    <w:rsid w:val="00A9432B"/>
    <w:rsid w:val="00A94433"/>
    <w:rsid w:val="00A95915"/>
    <w:rsid w:val="00A96110"/>
    <w:rsid w:val="00A973F9"/>
    <w:rsid w:val="00A97500"/>
    <w:rsid w:val="00AA134A"/>
    <w:rsid w:val="00AA1B21"/>
    <w:rsid w:val="00AA4AFD"/>
    <w:rsid w:val="00AA52F1"/>
    <w:rsid w:val="00AB3EF5"/>
    <w:rsid w:val="00AB446C"/>
    <w:rsid w:val="00AB5A0C"/>
    <w:rsid w:val="00AC2F10"/>
    <w:rsid w:val="00AC319C"/>
    <w:rsid w:val="00AC4E86"/>
    <w:rsid w:val="00AC4FE2"/>
    <w:rsid w:val="00AC6AC5"/>
    <w:rsid w:val="00AC7194"/>
    <w:rsid w:val="00AD001A"/>
    <w:rsid w:val="00AD0415"/>
    <w:rsid w:val="00AD2C03"/>
    <w:rsid w:val="00AD39C9"/>
    <w:rsid w:val="00AD581C"/>
    <w:rsid w:val="00AD5D1D"/>
    <w:rsid w:val="00AD63D3"/>
    <w:rsid w:val="00AD6402"/>
    <w:rsid w:val="00AE05CE"/>
    <w:rsid w:val="00AE0A11"/>
    <w:rsid w:val="00AE1196"/>
    <w:rsid w:val="00AE326C"/>
    <w:rsid w:val="00AE3504"/>
    <w:rsid w:val="00AE4140"/>
    <w:rsid w:val="00AE4B67"/>
    <w:rsid w:val="00AE5113"/>
    <w:rsid w:val="00AE6608"/>
    <w:rsid w:val="00AE6962"/>
    <w:rsid w:val="00AE76CA"/>
    <w:rsid w:val="00AE7733"/>
    <w:rsid w:val="00AF18DB"/>
    <w:rsid w:val="00B01594"/>
    <w:rsid w:val="00B02F66"/>
    <w:rsid w:val="00B03546"/>
    <w:rsid w:val="00B03F5D"/>
    <w:rsid w:val="00B04053"/>
    <w:rsid w:val="00B061DB"/>
    <w:rsid w:val="00B10911"/>
    <w:rsid w:val="00B11F7F"/>
    <w:rsid w:val="00B12803"/>
    <w:rsid w:val="00B12C37"/>
    <w:rsid w:val="00B12D0A"/>
    <w:rsid w:val="00B15B03"/>
    <w:rsid w:val="00B161A5"/>
    <w:rsid w:val="00B16C73"/>
    <w:rsid w:val="00B178A5"/>
    <w:rsid w:val="00B22704"/>
    <w:rsid w:val="00B24A86"/>
    <w:rsid w:val="00B25421"/>
    <w:rsid w:val="00B2589B"/>
    <w:rsid w:val="00B2641F"/>
    <w:rsid w:val="00B265DE"/>
    <w:rsid w:val="00B26605"/>
    <w:rsid w:val="00B353E5"/>
    <w:rsid w:val="00B367D0"/>
    <w:rsid w:val="00B37A8E"/>
    <w:rsid w:val="00B40D08"/>
    <w:rsid w:val="00B40DBB"/>
    <w:rsid w:val="00B40EF5"/>
    <w:rsid w:val="00B410E6"/>
    <w:rsid w:val="00B41B00"/>
    <w:rsid w:val="00B44BA2"/>
    <w:rsid w:val="00B452BF"/>
    <w:rsid w:val="00B525BD"/>
    <w:rsid w:val="00B52F6B"/>
    <w:rsid w:val="00B539D4"/>
    <w:rsid w:val="00B5503D"/>
    <w:rsid w:val="00B55749"/>
    <w:rsid w:val="00B559AD"/>
    <w:rsid w:val="00B55EF4"/>
    <w:rsid w:val="00B5708B"/>
    <w:rsid w:val="00B57230"/>
    <w:rsid w:val="00B5796F"/>
    <w:rsid w:val="00B61279"/>
    <w:rsid w:val="00B616C1"/>
    <w:rsid w:val="00B61E40"/>
    <w:rsid w:val="00B62ACA"/>
    <w:rsid w:val="00B63000"/>
    <w:rsid w:val="00B641FE"/>
    <w:rsid w:val="00B66625"/>
    <w:rsid w:val="00B67F0E"/>
    <w:rsid w:val="00B719AF"/>
    <w:rsid w:val="00B73251"/>
    <w:rsid w:val="00B750FC"/>
    <w:rsid w:val="00B75FB2"/>
    <w:rsid w:val="00B77DEB"/>
    <w:rsid w:val="00B80A9F"/>
    <w:rsid w:val="00B8120C"/>
    <w:rsid w:val="00B8185A"/>
    <w:rsid w:val="00B81A75"/>
    <w:rsid w:val="00B827D6"/>
    <w:rsid w:val="00B856BD"/>
    <w:rsid w:val="00B857B7"/>
    <w:rsid w:val="00B857C1"/>
    <w:rsid w:val="00B85ECA"/>
    <w:rsid w:val="00B877F1"/>
    <w:rsid w:val="00B90ECA"/>
    <w:rsid w:val="00B9243E"/>
    <w:rsid w:val="00B9513F"/>
    <w:rsid w:val="00B96F76"/>
    <w:rsid w:val="00BA2D6B"/>
    <w:rsid w:val="00BA3B3F"/>
    <w:rsid w:val="00BA441C"/>
    <w:rsid w:val="00BA5059"/>
    <w:rsid w:val="00BA5D91"/>
    <w:rsid w:val="00BA6C22"/>
    <w:rsid w:val="00BA74F4"/>
    <w:rsid w:val="00BB0284"/>
    <w:rsid w:val="00BB17BA"/>
    <w:rsid w:val="00BB18BA"/>
    <w:rsid w:val="00BB4ED1"/>
    <w:rsid w:val="00BB523F"/>
    <w:rsid w:val="00BB5634"/>
    <w:rsid w:val="00BB57C0"/>
    <w:rsid w:val="00BB70A0"/>
    <w:rsid w:val="00BB72D8"/>
    <w:rsid w:val="00BC281A"/>
    <w:rsid w:val="00BC3F4F"/>
    <w:rsid w:val="00BC4987"/>
    <w:rsid w:val="00BC4DDB"/>
    <w:rsid w:val="00BC4E54"/>
    <w:rsid w:val="00BC57BD"/>
    <w:rsid w:val="00BC6D7A"/>
    <w:rsid w:val="00BC7DF6"/>
    <w:rsid w:val="00BD0894"/>
    <w:rsid w:val="00BD3A9E"/>
    <w:rsid w:val="00BD405B"/>
    <w:rsid w:val="00BD4CD6"/>
    <w:rsid w:val="00BD5847"/>
    <w:rsid w:val="00BE1847"/>
    <w:rsid w:val="00BE3157"/>
    <w:rsid w:val="00BE5DCD"/>
    <w:rsid w:val="00BE6260"/>
    <w:rsid w:val="00BE6CC4"/>
    <w:rsid w:val="00BF00F2"/>
    <w:rsid w:val="00BF01BA"/>
    <w:rsid w:val="00BF0566"/>
    <w:rsid w:val="00BF15A3"/>
    <w:rsid w:val="00BF1E48"/>
    <w:rsid w:val="00BF3668"/>
    <w:rsid w:val="00BF3F32"/>
    <w:rsid w:val="00BF54A5"/>
    <w:rsid w:val="00BF6A45"/>
    <w:rsid w:val="00C00038"/>
    <w:rsid w:val="00C00DA4"/>
    <w:rsid w:val="00C041B8"/>
    <w:rsid w:val="00C05475"/>
    <w:rsid w:val="00C06283"/>
    <w:rsid w:val="00C06F90"/>
    <w:rsid w:val="00C074D9"/>
    <w:rsid w:val="00C079DF"/>
    <w:rsid w:val="00C10487"/>
    <w:rsid w:val="00C1181B"/>
    <w:rsid w:val="00C13EAE"/>
    <w:rsid w:val="00C15EBC"/>
    <w:rsid w:val="00C168AA"/>
    <w:rsid w:val="00C17973"/>
    <w:rsid w:val="00C206E6"/>
    <w:rsid w:val="00C21132"/>
    <w:rsid w:val="00C24017"/>
    <w:rsid w:val="00C25AF0"/>
    <w:rsid w:val="00C267AA"/>
    <w:rsid w:val="00C26CAB"/>
    <w:rsid w:val="00C26DA4"/>
    <w:rsid w:val="00C314E9"/>
    <w:rsid w:val="00C31712"/>
    <w:rsid w:val="00C34982"/>
    <w:rsid w:val="00C372ED"/>
    <w:rsid w:val="00C37549"/>
    <w:rsid w:val="00C4073A"/>
    <w:rsid w:val="00C41477"/>
    <w:rsid w:val="00C43D71"/>
    <w:rsid w:val="00C446AD"/>
    <w:rsid w:val="00C44AC6"/>
    <w:rsid w:val="00C46817"/>
    <w:rsid w:val="00C504A5"/>
    <w:rsid w:val="00C50B77"/>
    <w:rsid w:val="00C5183B"/>
    <w:rsid w:val="00C52B15"/>
    <w:rsid w:val="00C55E30"/>
    <w:rsid w:val="00C561D9"/>
    <w:rsid w:val="00C57269"/>
    <w:rsid w:val="00C60F5B"/>
    <w:rsid w:val="00C626E9"/>
    <w:rsid w:val="00C633D7"/>
    <w:rsid w:val="00C63E6C"/>
    <w:rsid w:val="00C64A8A"/>
    <w:rsid w:val="00C64C0F"/>
    <w:rsid w:val="00C6735E"/>
    <w:rsid w:val="00C67735"/>
    <w:rsid w:val="00C70765"/>
    <w:rsid w:val="00C708EA"/>
    <w:rsid w:val="00C70CD8"/>
    <w:rsid w:val="00C728A4"/>
    <w:rsid w:val="00C744FC"/>
    <w:rsid w:val="00C75AC0"/>
    <w:rsid w:val="00C83244"/>
    <w:rsid w:val="00C84134"/>
    <w:rsid w:val="00C85045"/>
    <w:rsid w:val="00C85803"/>
    <w:rsid w:val="00C87373"/>
    <w:rsid w:val="00C900B7"/>
    <w:rsid w:val="00C927A9"/>
    <w:rsid w:val="00C94FF3"/>
    <w:rsid w:val="00C95218"/>
    <w:rsid w:val="00C96C22"/>
    <w:rsid w:val="00C972EA"/>
    <w:rsid w:val="00C97BFF"/>
    <w:rsid w:val="00CA558C"/>
    <w:rsid w:val="00CB11AB"/>
    <w:rsid w:val="00CB4827"/>
    <w:rsid w:val="00CB5381"/>
    <w:rsid w:val="00CB70DF"/>
    <w:rsid w:val="00CC1A2C"/>
    <w:rsid w:val="00CC292E"/>
    <w:rsid w:val="00CC63B3"/>
    <w:rsid w:val="00CD06BF"/>
    <w:rsid w:val="00CD0752"/>
    <w:rsid w:val="00CD24BB"/>
    <w:rsid w:val="00CD3167"/>
    <w:rsid w:val="00CD31BE"/>
    <w:rsid w:val="00CD48B1"/>
    <w:rsid w:val="00CE2942"/>
    <w:rsid w:val="00CE30F4"/>
    <w:rsid w:val="00CE43E8"/>
    <w:rsid w:val="00CE4661"/>
    <w:rsid w:val="00CE47FC"/>
    <w:rsid w:val="00CE6F57"/>
    <w:rsid w:val="00CF23F0"/>
    <w:rsid w:val="00CF37C5"/>
    <w:rsid w:val="00CF5A95"/>
    <w:rsid w:val="00CF71D6"/>
    <w:rsid w:val="00D0044B"/>
    <w:rsid w:val="00D0072F"/>
    <w:rsid w:val="00D04461"/>
    <w:rsid w:val="00D056DE"/>
    <w:rsid w:val="00D05BD3"/>
    <w:rsid w:val="00D072EF"/>
    <w:rsid w:val="00D07465"/>
    <w:rsid w:val="00D1001F"/>
    <w:rsid w:val="00D115F6"/>
    <w:rsid w:val="00D11BF4"/>
    <w:rsid w:val="00D11E0B"/>
    <w:rsid w:val="00D12076"/>
    <w:rsid w:val="00D14310"/>
    <w:rsid w:val="00D1708A"/>
    <w:rsid w:val="00D173BC"/>
    <w:rsid w:val="00D1761C"/>
    <w:rsid w:val="00D203A8"/>
    <w:rsid w:val="00D20D5C"/>
    <w:rsid w:val="00D21E78"/>
    <w:rsid w:val="00D223E6"/>
    <w:rsid w:val="00D30363"/>
    <w:rsid w:val="00D31070"/>
    <w:rsid w:val="00D32A0D"/>
    <w:rsid w:val="00D3372A"/>
    <w:rsid w:val="00D372C9"/>
    <w:rsid w:val="00D376FC"/>
    <w:rsid w:val="00D37983"/>
    <w:rsid w:val="00D42D53"/>
    <w:rsid w:val="00D453BC"/>
    <w:rsid w:val="00D47CA2"/>
    <w:rsid w:val="00D51A27"/>
    <w:rsid w:val="00D56BDB"/>
    <w:rsid w:val="00D6379A"/>
    <w:rsid w:val="00D63FA9"/>
    <w:rsid w:val="00D650FC"/>
    <w:rsid w:val="00D67568"/>
    <w:rsid w:val="00D70405"/>
    <w:rsid w:val="00D70630"/>
    <w:rsid w:val="00D71369"/>
    <w:rsid w:val="00D71CE2"/>
    <w:rsid w:val="00D7218E"/>
    <w:rsid w:val="00D73CA4"/>
    <w:rsid w:val="00D748CD"/>
    <w:rsid w:val="00D838B6"/>
    <w:rsid w:val="00D84718"/>
    <w:rsid w:val="00D867CD"/>
    <w:rsid w:val="00D86C20"/>
    <w:rsid w:val="00D86D5D"/>
    <w:rsid w:val="00D876E7"/>
    <w:rsid w:val="00D87AD2"/>
    <w:rsid w:val="00D91289"/>
    <w:rsid w:val="00D91ADE"/>
    <w:rsid w:val="00D927E5"/>
    <w:rsid w:val="00D93B8E"/>
    <w:rsid w:val="00D93BA8"/>
    <w:rsid w:val="00D946A9"/>
    <w:rsid w:val="00D94DAE"/>
    <w:rsid w:val="00D94F01"/>
    <w:rsid w:val="00D95339"/>
    <w:rsid w:val="00D963F3"/>
    <w:rsid w:val="00D96C87"/>
    <w:rsid w:val="00DA0130"/>
    <w:rsid w:val="00DA0392"/>
    <w:rsid w:val="00DA2D74"/>
    <w:rsid w:val="00DB0F55"/>
    <w:rsid w:val="00DB22C5"/>
    <w:rsid w:val="00DB398A"/>
    <w:rsid w:val="00DB573C"/>
    <w:rsid w:val="00DB6741"/>
    <w:rsid w:val="00DB6BBB"/>
    <w:rsid w:val="00DB7A81"/>
    <w:rsid w:val="00DB7B83"/>
    <w:rsid w:val="00DC0CCD"/>
    <w:rsid w:val="00DC11DD"/>
    <w:rsid w:val="00DC19A9"/>
    <w:rsid w:val="00DC34A4"/>
    <w:rsid w:val="00DC42E6"/>
    <w:rsid w:val="00DC4F51"/>
    <w:rsid w:val="00DC747A"/>
    <w:rsid w:val="00DD0560"/>
    <w:rsid w:val="00DD3EE0"/>
    <w:rsid w:val="00DD7C1A"/>
    <w:rsid w:val="00DE1D44"/>
    <w:rsid w:val="00DE41B5"/>
    <w:rsid w:val="00DE56FC"/>
    <w:rsid w:val="00DF1EE6"/>
    <w:rsid w:val="00DF21F6"/>
    <w:rsid w:val="00DF35A2"/>
    <w:rsid w:val="00DF3AA8"/>
    <w:rsid w:val="00DF5DEC"/>
    <w:rsid w:val="00DF62CD"/>
    <w:rsid w:val="00DF6DE9"/>
    <w:rsid w:val="00DF7C61"/>
    <w:rsid w:val="00E014E4"/>
    <w:rsid w:val="00E05649"/>
    <w:rsid w:val="00E05BE7"/>
    <w:rsid w:val="00E06932"/>
    <w:rsid w:val="00E1094B"/>
    <w:rsid w:val="00E13E50"/>
    <w:rsid w:val="00E15B0F"/>
    <w:rsid w:val="00E2002A"/>
    <w:rsid w:val="00E20E02"/>
    <w:rsid w:val="00E2216E"/>
    <w:rsid w:val="00E229A7"/>
    <w:rsid w:val="00E22F4F"/>
    <w:rsid w:val="00E23055"/>
    <w:rsid w:val="00E255C6"/>
    <w:rsid w:val="00E26675"/>
    <w:rsid w:val="00E30627"/>
    <w:rsid w:val="00E31FAA"/>
    <w:rsid w:val="00E32C95"/>
    <w:rsid w:val="00E34B1C"/>
    <w:rsid w:val="00E35B90"/>
    <w:rsid w:val="00E35CD6"/>
    <w:rsid w:val="00E35D0A"/>
    <w:rsid w:val="00E3605B"/>
    <w:rsid w:val="00E37CA9"/>
    <w:rsid w:val="00E42B21"/>
    <w:rsid w:val="00E466FB"/>
    <w:rsid w:val="00E46947"/>
    <w:rsid w:val="00E470A7"/>
    <w:rsid w:val="00E4768F"/>
    <w:rsid w:val="00E4786E"/>
    <w:rsid w:val="00E5084F"/>
    <w:rsid w:val="00E54E00"/>
    <w:rsid w:val="00E567DE"/>
    <w:rsid w:val="00E57E3D"/>
    <w:rsid w:val="00E60510"/>
    <w:rsid w:val="00E61102"/>
    <w:rsid w:val="00E630C7"/>
    <w:rsid w:val="00E64928"/>
    <w:rsid w:val="00E66623"/>
    <w:rsid w:val="00E6759E"/>
    <w:rsid w:val="00E81DD2"/>
    <w:rsid w:val="00E823DA"/>
    <w:rsid w:val="00E8321D"/>
    <w:rsid w:val="00E8599D"/>
    <w:rsid w:val="00E85BFE"/>
    <w:rsid w:val="00E868C3"/>
    <w:rsid w:val="00E8749F"/>
    <w:rsid w:val="00E908F3"/>
    <w:rsid w:val="00E91F26"/>
    <w:rsid w:val="00E9252E"/>
    <w:rsid w:val="00E92D73"/>
    <w:rsid w:val="00E95FC3"/>
    <w:rsid w:val="00E96851"/>
    <w:rsid w:val="00E96C84"/>
    <w:rsid w:val="00EA075D"/>
    <w:rsid w:val="00EA1405"/>
    <w:rsid w:val="00EA4191"/>
    <w:rsid w:val="00EA574C"/>
    <w:rsid w:val="00EA5F96"/>
    <w:rsid w:val="00EA661D"/>
    <w:rsid w:val="00EA763E"/>
    <w:rsid w:val="00EB0228"/>
    <w:rsid w:val="00EB1E86"/>
    <w:rsid w:val="00EB2F26"/>
    <w:rsid w:val="00EB4F70"/>
    <w:rsid w:val="00EB5139"/>
    <w:rsid w:val="00EB6C13"/>
    <w:rsid w:val="00EB71A6"/>
    <w:rsid w:val="00EC061E"/>
    <w:rsid w:val="00EC0DFD"/>
    <w:rsid w:val="00EC120A"/>
    <w:rsid w:val="00EC19F7"/>
    <w:rsid w:val="00EC6653"/>
    <w:rsid w:val="00EC7BF0"/>
    <w:rsid w:val="00ED17D5"/>
    <w:rsid w:val="00ED1E3A"/>
    <w:rsid w:val="00ED1F72"/>
    <w:rsid w:val="00ED3B04"/>
    <w:rsid w:val="00ED4C0F"/>
    <w:rsid w:val="00ED5B2B"/>
    <w:rsid w:val="00ED661D"/>
    <w:rsid w:val="00ED720F"/>
    <w:rsid w:val="00ED7443"/>
    <w:rsid w:val="00EE7584"/>
    <w:rsid w:val="00EF1CBD"/>
    <w:rsid w:val="00EF6398"/>
    <w:rsid w:val="00EF6FFD"/>
    <w:rsid w:val="00F02B50"/>
    <w:rsid w:val="00F0618A"/>
    <w:rsid w:val="00F07F01"/>
    <w:rsid w:val="00F11F22"/>
    <w:rsid w:val="00F13751"/>
    <w:rsid w:val="00F20760"/>
    <w:rsid w:val="00F20FE3"/>
    <w:rsid w:val="00F21213"/>
    <w:rsid w:val="00F21616"/>
    <w:rsid w:val="00F232D7"/>
    <w:rsid w:val="00F2569B"/>
    <w:rsid w:val="00F27A21"/>
    <w:rsid w:val="00F309A1"/>
    <w:rsid w:val="00F31B1E"/>
    <w:rsid w:val="00F3390D"/>
    <w:rsid w:val="00F33FA5"/>
    <w:rsid w:val="00F34080"/>
    <w:rsid w:val="00F34A69"/>
    <w:rsid w:val="00F35B9F"/>
    <w:rsid w:val="00F41884"/>
    <w:rsid w:val="00F43AAA"/>
    <w:rsid w:val="00F43D6D"/>
    <w:rsid w:val="00F45B43"/>
    <w:rsid w:val="00F47A54"/>
    <w:rsid w:val="00F50941"/>
    <w:rsid w:val="00F5124C"/>
    <w:rsid w:val="00F523CF"/>
    <w:rsid w:val="00F52420"/>
    <w:rsid w:val="00F534D8"/>
    <w:rsid w:val="00F54D8C"/>
    <w:rsid w:val="00F555A9"/>
    <w:rsid w:val="00F569F6"/>
    <w:rsid w:val="00F575A8"/>
    <w:rsid w:val="00F57C03"/>
    <w:rsid w:val="00F60267"/>
    <w:rsid w:val="00F60C9C"/>
    <w:rsid w:val="00F636A5"/>
    <w:rsid w:val="00F6456C"/>
    <w:rsid w:val="00F65F44"/>
    <w:rsid w:val="00F66F81"/>
    <w:rsid w:val="00F73CBB"/>
    <w:rsid w:val="00F74404"/>
    <w:rsid w:val="00F75786"/>
    <w:rsid w:val="00F75EDE"/>
    <w:rsid w:val="00F7634B"/>
    <w:rsid w:val="00F768A1"/>
    <w:rsid w:val="00F847BB"/>
    <w:rsid w:val="00F84C85"/>
    <w:rsid w:val="00F85B85"/>
    <w:rsid w:val="00F86B9B"/>
    <w:rsid w:val="00F87D50"/>
    <w:rsid w:val="00F90890"/>
    <w:rsid w:val="00F91FEE"/>
    <w:rsid w:val="00F92A40"/>
    <w:rsid w:val="00F940DB"/>
    <w:rsid w:val="00F94ECB"/>
    <w:rsid w:val="00F952E4"/>
    <w:rsid w:val="00FA1261"/>
    <w:rsid w:val="00FA165E"/>
    <w:rsid w:val="00FA27E7"/>
    <w:rsid w:val="00FA3A88"/>
    <w:rsid w:val="00FA3B56"/>
    <w:rsid w:val="00FA4303"/>
    <w:rsid w:val="00FA523C"/>
    <w:rsid w:val="00FA56F5"/>
    <w:rsid w:val="00FB20A7"/>
    <w:rsid w:val="00FB2DFC"/>
    <w:rsid w:val="00FB7D6E"/>
    <w:rsid w:val="00FC0DF3"/>
    <w:rsid w:val="00FC4027"/>
    <w:rsid w:val="00FC76AD"/>
    <w:rsid w:val="00FD3C26"/>
    <w:rsid w:val="00FE49CD"/>
    <w:rsid w:val="00FE49ED"/>
    <w:rsid w:val="00FE500F"/>
    <w:rsid w:val="00FE5FDC"/>
    <w:rsid w:val="00FF27A5"/>
    <w:rsid w:val="00FF5B33"/>
    <w:rsid w:val="00FF5F4B"/>
    <w:rsid w:val="00FF7802"/>
    <w:rsid w:val="00FF781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559"/>
    <w:pPr>
      <w:spacing w:after="0" w:line="360" w:lineRule="auto"/>
      <w:jc w:val="both"/>
    </w:pPr>
    <w:rPr>
      <w:rFonts w:ascii="Arial" w:eastAsia="Times New Roman" w:hAnsi="Arial" w:cs="Times New Roman"/>
      <w:szCs w:val="20"/>
    </w:rPr>
  </w:style>
  <w:style w:type="paragraph" w:styleId="Heading1">
    <w:name w:val="heading 1"/>
    <w:aliases w:val="(Chapter Nbr),H1,Header1,Heading 1.1,Hdg 1-SPIRIT,h1, 1-SPIRIT,1-SPIRIT,1.,Para1,Top 1,ParaLevel1,Level 1 Para,Level 1 Para1,Level 1 Para2,Level 1 Para3,Level 1 Para4,Level 1 Para11,Level 1 Para21,Level 1 Para31,Level 1 Para5,Level 1 Para12,g"/>
    <w:basedOn w:val="Subtitle"/>
    <w:next w:val="Normal"/>
    <w:link w:val="Heading1Char"/>
    <w:uiPriority w:val="9"/>
    <w:qFormat/>
    <w:rsid w:val="004E16D0"/>
    <w:pPr>
      <w:outlineLvl w:val="0"/>
    </w:pPr>
  </w:style>
  <w:style w:type="paragraph" w:styleId="Heading2">
    <w:name w:val="heading 2"/>
    <w:aliases w:val="H2,Heading 2.2,h2,h2 main heading,Chapter Title,heading,Heading,1,head2,heading8,0,Subhead A,Subhead B,Heading 21,A,heading 2,head II,section 1.1,2m,S&amp;P Heading 2,fred2,UNDERRUBRIK 1-2,Chapter Number/Appendix Letter,chn,2 headline,21,A.B.C."/>
    <w:basedOn w:val="Title"/>
    <w:next w:val="BodyText"/>
    <w:link w:val="Heading2Char"/>
    <w:uiPriority w:val="9"/>
    <w:qFormat/>
    <w:rsid w:val="00E6759E"/>
    <w:pPr>
      <w:ind w:left="2880" w:hanging="2880"/>
      <w:jc w:val="left"/>
      <w:outlineLvl w:val="1"/>
    </w:pPr>
  </w:style>
  <w:style w:type="paragraph" w:styleId="Heading3">
    <w:name w:val="heading 3"/>
    <w:basedOn w:val="Heading2"/>
    <w:next w:val="Normal"/>
    <w:link w:val="Heading3Char"/>
    <w:uiPriority w:val="9"/>
    <w:unhideWhenUsed/>
    <w:qFormat/>
    <w:rsid w:val="00430374"/>
    <w:pPr>
      <w:pageBreakBefore w:val="0"/>
      <w:numPr>
        <w:numId w:val="16"/>
      </w:numPr>
      <w:outlineLvl w:val="2"/>
    </w:pPr>
    <w:rPr>
      <w:i/>
      <w:sz w:val="32"/>
      <w:szCs w:val="44"/>
    </w:rPr>
  </w:style>
  <w:style w:type="paragraph" w:styleId="Heading4">
    <w:name w:val="heading 4"/>
    <w:basedOn w:val="Heading3"/>
    <w:next w:val="Normal"/>
    <w:link w:val="Heading4Char"/>
    <w:uiPriority w:val="9"/>
    <w:unhideWhenUsed/>
    <w:qFormat/>
    <w:rsid w:val="00E22F4F"/>
    <w:pPr>
      <w:numPr>
        <w:ilvl w:val="1"/>
        <w:numId w:val="5"/>
      </w:numPr>
      <w:outlineLvl w:val="3"/>
    </w:pPr>
    <w:rPr>
      <w:color w:val="66FF33"/>
      <w:sz w:val="40"/>
      <w:szCs w:val="40"/>
    </w:rPr>
  </w:style>
  <w:style w:type="paragraph" w:styleId="Heading5">
    <w:name w:val="heading 5"/>
    <w:basedOn w:val="Heading2"/>
    <w:next w:val="Normal"/>
    <w:link w:val="Heading5Char"/>
    <w:uiPriority w:val="9"/>
    <w:unhideWhenUsed/>
    <w:qFormat/>
    <w:rsid w:val="00C64A8A"/>
    <w:pPr>
      <w:pageBreakBefore w:val="0"/>
      <w:ind w:left="0" w:firstLine="0"/>
      <w:outlineLvl w:val="4"/>
    </w:pPr>
    <w:rPr>
      <w:sz w:val="22"/>
      <w:szCs w:val="22"/>
    </w:rPr>
  </w:style>
  <w:style w:type="paragraph" w:styleId="Heading6">
    <w:name w:val="heading 6"/>
    <w:basedOn w:val="Heading3"/>
    <w:next w:val="Normal"/>
    <w:link w:val="Heading6Char"/>
    <w:uiPriority w:val="9"/>
    <w:unhideWhenUsed/>
    <w:qFormat/>
    <w:rsid w:val="00DC747A"/>
    <w:pPr>
      <w:numPr>
        <w:numId w:val="2"/>
      </w:numPr>
      <w:spacing w:after="240"/>
      <w:ind w:left="1134" w:hanging="425"/>
      <w:outlineLvl w:val="5"/>
    </w:pPr>
    <w:rPr>
      <w:rFonts w:ascii="Verdana" w:hAnsi="Verdana"/>
      <w:b/>
      <w:color w:val="404040" w:themeColor="text1" w:themeTint="BF"/>
      <w:sz w:val="22"/>
      <w:szCs w:val="22"/>
    </w:rPr>
  </w:style>
  <w:style w:type="paragraph" w:styleId="Heading7">
    <w:name w:val="heading 7"/>
    <w:basedOn w:val="Normal"/>
    <w:next w:val="Normal"/>
    <w:link w:val="Heading7Char"/>
    <w:uiPriority w:val="9"/>
    <w:unhideWhenUsed/>
    <w:qFormat/>
    <w:rsid w:val="00EC19F7"/>
    <w:pPr>
      <w:keepNext/>
      <w:keepLines/>
      <w:numPr>
        <w:numId w:val="4"/>
      </w:numPr>
      <w:spacing w:before="360" w:after="240"/>
      <w:outlineLvl w:val="6"/>
    </w:pPr>
    <w:rPr>
      <w:rFonts w:ascii="Times New Roman" w:eastAsiaTheme="majorEastAsia" w:hAnsi="Times New Roman"/>
      <w:b/>
      <w:iCs/>
      <w:sz w:val="32"/>
      <w:szCs w:val="32"/>
    </w:rPr>
  </w:style>
  <w:style w:type="paragraph" w:styleId="Heading8">
    <w:name w:val="heading 8"/>
    <w:basedOn w:val="Normal"/>
    <w:next w:val="Normal"/>
    <w:link w:val="Heading8Char"/>
    <w:uiPriority w:val="9"/>
    <w:semiHidden/>
    <w:unhideWhenUsed/>
    <w:qFormat/>
    <w:rsid w:val="00547B17"/>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rey Bullet List,Grey Bullet Style"/>
    <w:basedOn w:val="Normal"/>
    <w:link w:val="ListParagraphChar"/>
    <w:uiPriority w:val="34"/>
    <w:qFormat/>
    <w:rsid w:val="00742279"/>
    <w:pPr>
      <w:ind w:left="720"/>
      <w:contextualSpacing/>
    </w:pPr>
  </w:style>
  <w:style w:type="paragraph" w:styleId="Header">
    <w:name w:val="header"/>
    <w:basedOn w:val="Normal"/>
    <w:link w:val="HeaderChar"/>
    <w:uiPriority w:val="99"/>
    <w:unhideWhenUsed/>
    <w:rsid w:val="00625AF6"/>
    <w:pPr>
      <w:tabs>
        <w:tab w:val="center" w:pos="4513"/>
        <w:tab w:val="right" w:pos="9026"/>
      </w:tabs>
    </w:pPr>
  </w:style>
  <w:style w:type="character" w:customStyle="1" w:styleId="HeaderChar">
    <w:name w:val="Header Char"/>
    <w:basedOn w:val="DefaultParagraphFont"/>
    <w:link w:val="Header"/>
    <w:uiPriority w:val="99"/>
    <w:rsid w:val="00625AF6"/>
  </w:style>
  <w:style w:type="paragraph" w:styleId="Footer">
    <w:name w:val="footer"/>
    <w:basedOn w:val="Normal"/>
    <w:link w:val="FooterChar"/>
    <w:uiPriority w:val="99"/>
    <w:unhideWhenUsed/>
    <w:rsid w:val="00625AF6"/>
    <w:pPr>
      <w:tabs>
        <w:tab w:val="center" w:pos="4513"/>
        <w:tab w:val="right" w:pos="9026"/>
      </w:tabs>
    </w:pPr>
  </w:style>
  <w:style w:type="character" w:customStyle="1" w:styleId="FooterChar">
    <w:name w:val="Footer Char"/>
    <w:basedOn w:val="DefaultParagraphFont"/>
    <w:link w:val="Footer"/>
    <w:uiPriority w:val="99"/>
    <w:rsid w:val="00625AF6"/>
  </w:style>
  <w:style w:type="character" w:styleId="Hyperlink">
    <w:name w:val="Hyperlink"/>
    <w:basedOn w:val="DefaultParagraphFont"/>
    <w:uiPriority w:val="99"/>
    <w:unhideWhenUsed/>
    <w:rsid w:val="00864213"/>
    <w:rPr>
      <w:color w:val="0000FF"/>
      <w:u w:val="single"/>
    </w:rPr>
  </w:style>
  <w:style w:type="paragraph" w:customStyle="1" w:styleId="Default">
    <w:name w:val="Default"/>
    <w:rsid w:val="00BA3B3F"/>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aliases w:val="H2 Char,Heading 2.2 Char,h2 Char,h2 main heading Char,Chapter Title Char,heading Char,Heading Char,1 Char,head2 Char,heading8 Char,0 Char,Subhead A Char,Subhead B Char,Heading 21 Char,A Char,heading 2 Char,head II Char,section 1.1 Char"/>
    <w:basedOn w:val="DefaultParagraphFont"/>
    <w:link w:val="Heading2"/>
    <w:uiPriority w:val="9"/>
    <w:rsid w:val="00E6759E"/>
    <w:rPr>
      <w:rFonts w:asciiTheme="majorHAnsi" w:eastAsia="Times New Roman" w:hAnsiTheme="majorHAnsi" w:cs="Times New Roman"/>
      <w:bCs/>
      <w:color w:val="002060"/>
      <w:sz w:val="52"/>
      <w:szCs w:val="52"/>
    </w:rPr>
  </w:style>
  <w:style w:type="paragraph" w:styleId="BodyText">
    <w:name w:val="Body Text"/>
    <w:basedOn w:val="Normal"/>
    <w:link w:val="BodyTextChar"/>
    <w:uiPriority w:val="99"/>
    <w:rsid w:val="00580EF3"/>
    <w:pPr>
      <w:spacing w:after="180"/>
    </w:pPr>
  </w:style>
  <w:style w:type="character" w:customStyle="1" w:styleId="BodyTextChar">
    <w:name w:val="Body Text Char"/>
    <w:basedOn w:val="DefaultParagraphFont"/>
    <w:link w:val="BodyText"/>
    <w:uiPriority w:val="99"/>
    <w:rsid w:val="00580EF3"/>
    <w:rPr>
      <w:rFonts w:ascii="Verdana" w:eastAsia="Times New Roman" w:hAnsi="Verdana" w:cs="Times New Roman"/>
      <w:sz w:val="18"/>
      <w:szCs w:val="20"/>
    </w:rPr>
  </w:style>
  <w:style w:type="character" w:styleId="CommentReference">
    <w:name w:val="annotation reference"/>
    <w:basedOn w:val="DefaultParagraphFont"/>
    <w:semiHidden/>
    <w:rsid w:val="00580EF3"/>
    <w:rPr>
      <w:rFonts w:cs="Times New Roman"/>
      <w:sz w:val="16"/>
      <w:szCs w:val="16"/>
    </w:rPr>
  </w:style>
  <w:style w:type="character" w:customStyle="1" w:styleId="CaptionbodyChar">
    <w:name w:val="Caption body Char"/>
    <w:basedOn w:val="DefaultParagraphFont"/>
    <w:link w:val="Captionbody"/>
    <w:rsid w:val="00580EF3"/>
    <w:rPr>
      <w:rFonts w:ascii="Arial" w:hAnsi="Arial"/>
      <w:color w:val="000000"/>
      <w:sz w:val="18"/>
    </w:rPr>
  </w:style>
  <w:style w:type="paragraph" w:customStyle="1" w:styleId="Captionbody">
    <w:name w:val="Caption body"/>
    <w:link w:val="CaptionbodyChar"/>
    <w:rsid w:val="00580EF3"/>
    <w:pPr>
      <w:spacing w:after="80" w:line="200" w:lineRule="exact"/>
    </w:pPr>
    <w:rPr>
      <w:rFonts w:ascii="Arial" w:hAnsi="Arial"/>
      <w:color w:val="000000"/>
      <w:sz w:val="18"/>
    </w:rPr>
  </w:style>
  <w:style w:type="paragraph" w:customStyle="1" w:styleId="BSubheading-Blue">
    <w:name w:val="B Subheading - Blue"/>
    <w:basedOn w:val="Heading2"/>
    <w:link w:val="BSubheading-BlueChar"/>
    <w:rsid w:val="00580EF3"/>
    <w:pPr>
      <w:spacing w:before="320" w:after="120"/>
    </w:pPr>
    <w:rPr>
      <w:rFonts w:ascii="Arial" w:eastAsia="Times" w:hAnsi="Arial"/>
      <w:noProof/>
      <w:color w:val="00A1DE"/>
      <w:sz w:val="24"/>
      <w:szCs w:val="24"/>
      <w:lang w:val="en-US"/>
    </w:rPr>
  </w:style>
  <w:style w:type="character" w:customStyle="1" w:styleId="BSubheading-BlueChar">
    <w:name w:val="B Subheading - Blue Char"/>
    <w:basedOn w:val="Heading2Char"/>
    <w:link w:val="BSubheading-Blue"/>
    <w:rsid w:val="00580EF3"/>
    <w:rPr>
      <w:rFonts w:ascii="Arial" w:eastAsia="Times" w:hAnsi="Arial" w:cs="Times New Roman"/>
      <w:bCs/>
      <w:noProof/>
      <w:color w:val="00A1DE"/>
      <w:sz w:val="24"/>
      <w:szCs w:val="24"/>
      <w:lang w:val="en-US"/>
    </w:rPr>
  </w:style>
  <w:style w:type="paragraph" w:customStyle="1" w:styleId="APageheading">
    <w:name w:val="A Page heading"/>
    <w:basedOn w:val="Heading1"/>
    <w:link w:val="APageheadingChar"/>
    <w:rsid w:val="00580EF3"/>
    <w:pPr>
      <w:spacing w:before="0" w:after="1600"/>
    </w:pPr>
    <w:rPr>
      <w:rFonts w:eastAsia="Times"/>
      <w:b/>
      <w:bCs w:val="0"/>
      <w:noProof/>
      <w:color w:val="002776"/>
      <w:kern w:val="32"/>
      <w:sz w:val="60"/>
      <w:szCs w:val="60"/>
      <w:lang w:val="en-GB"/>
    </w:rPr>
  </w:style>
  <w:style w:type="character" w:customStyle="1" w:styleId="APageheadingChar">
    <w:name w:val="A Page heading Char"/>
    <w:basedOn w:val="DefaultParagraphFont"/>
    <w:link w:val="APageheading"/>
    <w:rsid w:val="00580EF3"/>
    <w:rPr>
      <w:rFonts w:asciiTheme="majorHAnsi" w:eastAsia="Times" w:hAnsiTheme="majorHAnsi" w:cs="Times New Roman"/>
      <w:b/>
      <w:i/>
      <w:noProof/>
      <w:color w:val="002776"/>
      <w:kern w:val="32"/>
      <w:sz w:val="60"/>
      <w:szCs w:val="60"/>
      <w:lang w:val="en-GB"/>
    </w:rPr>
  </w:style>
  <w:style w:type="paragraph" w:customStyle="1" w:styleId="Paragraph">
    <w:name w:val="Paragraph"/>
    <w:basedOn w:val="Normal"/>
    <w:next w:val="Captionbody"/>
    <w:uiPriority w:val="99"/>
    <w:qFormat/>
    <w:rsid w:val="00580EF3"/>
    <w:pPr>
      <w:spacing w:before="240" w:after="240" w:line="276" w:lineRule="auto"/>
    </w:pPr>
    <w:rPr>
      <w:rFonts w:eastAsia="Times"/>
      <w:color w:val="000000"/>
      <w:sz w:val="20"/>
    </w:rPr>
  </w:style>
  <w:style w:type="paragraph" w:customStyle="1" w:styleId="tablehead">
    <w:name w:val="tablehead"/>
    <w:aliases w:val="th"/>
    <w:basedOn w:val="Normal"/>
    <w:next w:val="Normal"/>
    <w:rsid w:val="00580EF3"/>
    <w:pPr>
      <w:keepNext/>
      <w:spacing w:before="80" w:after="80"/>
      <w:jc w:val="center"/>
    </w:pPr>
    <w:rPr>
      <w:b/>
      <w:lang w:val="en-US"/>
    </w:rPr>
  </w:style>
  <w:style w:type="paragraph" w:customStyle="1" w:styleId="text">
    <w:name w:val="text"/>
    <w:aliases w:val="t"/>
    <w:basedOn w:val="Normal"/>
    <w:qFormat/>
    <w:rsid w:val="00580EF3"/>
    <w:pPr>
      <w:spacing w:before="120" w:after="120"/>
      <w:ind w:left="936"/>
    </w:pPr>
    <w:rPr>
      <w:rFonts w:cs="Arial"/>
      <w:sz w:val="20"/>
      <w:lang w:val="en-US"/>
    </w:rPr>
  </w:style>
  <w:style w:type="character" w:customStyle="1" w:styleId="Heading1Char">
    <w:name w:val="Heading 1 Char"/>
    <w:aliases w:val="(Chapter Nbr) Char,H1 Char,Header1 Char,Heading 1.1 Char,Hdg 1-SPIRIT Char,h1 Char, 1-SPIRIT Char,1-SPIRIT Char,1. Char,Para1 Char,Top 1 Char,ParaLevel1 Char,Level 1 Para Char,Level 1 Para1 Char,Level 1 Para2 Char,Level 1 Para3 Char"/>
    <w:basedOn w:val="DefaultParagraphFont"/>
    <w:link w:val="Heading1"/>
    <w:uiPriority w:val="9"/>
    <w:rsid w:val="004E16D0"/>
    <w:rPr>
      <w:rFonts w:asciiTheme="majorHAnsi" w:eastAsia="Times New Roman" w:hAnsiTheme="majorHAnsi" w:cs="Times New Roman"/>
      <w:bCs/>
      <w:i/>
      <w:color w:val="002060"/>
      <w:sz w:val="52"/>
      <w:szCs w:val="52"/>
    </w:rPr>
  </w:style>
  <w:style w:type="paragraph" w:styleId="BalloonText">
    <w:name w:val="Balloon Text"/>
    <w:basedOn w:val="Normal"/>
    <w:link w:val="BalloonTextChar"/>
    <w:uiPriority w:val="99"/>
    <w:semiHidden/>
    <w:unhideWhenUsed/>
    <w:rsid w:val="00580EF3"/>
    <w:rPr>
      <w:rFonts w:ascii="Tahoma" w:hAnsi="Tahoma" w:cs="Tahoma"/>
      <w:sz w:val="16"/>
      <w:szCs w:val="16"/>
    </w:rPr>
  </w:style>
  <w:style w:type="character" w:customStyle="1" w:styleId="BalloonTextChar">
    <w:name w:val="Balloon Text Char"/>
    <w:basedOn w:val="DefaultParagraphFont"/>
    <w:link w:val="BalloonText"/>
    <w:uiPriority w:val="99"/>
    <w:semiHidden/>
    <w:rsid w:val="00580EF3"/>
    <w:rPr>
      <w:rFonts w:ascii="Tahoma" w:eastAsia="Times New Roman" w:hAnsi="Tahoma" w:cs="Tahoma"/>
      <w:sz w:val="16"/>
      <w:szCs w:val="16"/>
    </w:rPr>
  </w:style>
  <w:style w:type="paragraph" w:styleId="TOC2">
    <w:name w:val="toc 2"/>
    <w:basedOn w:val="Heading3"/>
    <w:next w:val="Normal"/>
    <w:autoRedefine/>
    <w:uiPriority w:val="39"/>
    <w:unhideWhenUsed/>
    <w:qFormat/>
    <w:rsid w:val="004212F1"/>
    <w:rPr>
      <w:sz w:val="40"/>
      <w:szCs w:val="40"/>
    </w:rPr>
  </w:style>
  <w:style w:type="paragraph" w:customStyle="1" w:styleId="TableTitle">
    <w:name w:val="Table Title"/>
    <w:basedOn w:val="Normal"/>
    <w:rsid w:val="00580EF3"/>
    <w:pPr>
      <w:keepNext/>
      <w:spacing w:before="120" w:after="120"/>
      <w:jc w:val="center"/>
    </w:pPr>
    <w:rPr>
      <w:b/>
      <w:sz w:val="20"/>
    </w:rPr>
  </w:style>
  <w:style w:type="paragraph" w:customStyle="1" w:styleId="table">
    <w:name w:val="table"/>
    <w:aliases w:val="ta"/>
    <w:basedOn w:val="Normal"/>
    <w:qFormat/>
    <w:rsid w:val="00580EF3"/>
    <w:pPr>
      <w:spacing w:before="60" w:after="60"/>
    </w:pPr>
    <w:rPr>
      <w:rFonts w:cs="Arial"/>
      <w:szCs w:val="18"/>
      <w:lang w:val="en-US"/>
    </w:rPr>
  </w:style>
  <w:style w:type="paragraph" w:styleId="TOC1">
    <w:name w:val="toc 1"/>
    <w:basedOn w:val="Title"/>
    <w:next w:val="Normal"/>
    <w:autoRedefine/>
    <w:uiPriority w:val="39"/>
    <w:unhideWhenUsed/>
    <w:qFormat/>
    <w:rsid w:val="008A7189"/>
  </w:style>
  <w:style w:type="character" w:customStyle="1" w:styleId="A1">
    <w:name w:val="A1"/>
    <w:uiPriority w:val="99"/>
    <w:rsid w:val="008B7A76"/>
    <w:rPr>
      <w:rFonts w:cs="Frutiger Next Pro Bold"/>
      <w:b/>
      <w:bCs/>
      <w:color w:val="000000"/>
      <w:sz w:val="19"/>
      <w:szCs w:val="19"/>
    </w:rPr>
  </w:style>
  <w:style w:type="paragraph" w:customStyle="1" w:styleId="Pa4">
    <w:name w:val="Pa4"/>
    <w:basedOn w:val="Default"/>
    <w:next w:val="Default"/>
    <w:uiPriority w:val="99"/>
    <w:rsid w:val="008B7A76"/>
    <w:pPr>
      <w:spacing w:line="191" w:lineRule="atLeast"/>
    </w:pPr>
    <w:rPr>
      <w:rFonts w:ascii="Frutiger Next Pro Light" w:eastAsia="Calibri" w:hAnsi="Frutiger Next Pro Light"/>
      <w:color w:val="auto"/>
      <w:lang w:eastAsia="en-ZA"/>
    </w:rPr>
  </w:style>
  <w:style w:type="paragraph" w:customStyle="1" w:styleId="h3">
    <w:name w:val="h3"/>
    <w:basedOn w:val="Normal"/>
    <w:qFormat/>
    <w:rsid w:val="00C06283"/>
    <w:pPr>
      <w:keepNext/>
      <w:tabs>
        <w:tab w:val="left" w:pos="284"/>
        <w:tab w:val="left" w:pos="936"/>
      </w:tabs>
      <w:spacing w:before="240" w:after="120"/>
      <w:ind w:left="284"/>
    </w:pPr>
    <w:rPr>
      <w:b/>
      <w:bCs/>
      <w:color w:val="3232CE"/>
      <w:sz w:val="24"/>
      <w:szCs w:val="24"/>
      <w:lang w:val="en-US"/>
    </w:rPr>
  </w:style>
  <w:style w:type="character" w:customStyle="1" w:styleId="A10">
    <w:name w:val="A10"/>
    <w:uiPriority w:val="99"/>
    <w:rsid w:val="003A4225"/>
    <w:rPr>
      <w:rFonts w:cs="Frutiger Next Pro Light"/>
      <w:color w:val="000000"/>
      <w:sz w:val="19"/>
      <w:szCs w:val="19"/>
    </w:rPr>
  </w:style>
  <w:style w:type="paragraph" w:styleId="TOC3">
    <w:name w:val="toc 3"/>
    <w:basedOn w:val="Normal"/>
    <w:next w:val="Normal"/>
    <w:autoRedefine/>
    <w:uiPriority w:val="39"/>
    <w:unhideWhenUsed/>
    <w:qFormat/>
    <w:rsid w:val="00634AD8"/>
    <w:pPr>
      <w:tabs>
        <w:tab w:val="left" w:pos="900"/>
        <w:tab w:val="left" w:pos="8910"/>
        <w:tab w:val="right" w:leader="dot" w:pos="9288"/>
      </w:tabs>
      <w:ind w:left="360"/>
    </w:pPr>
    <w:rPr>
      <w:rFonts w:asciiTheme="minorHAnsi" w:hAnsiTheme="minorHAnsi" w:cstheme="minorHAnsi"/>
      <w:noProof/>
      <w:sz w:val="18"/>
      <w:szCs w:val="18"/>
    </w:rPr>
  </w:style>
  <w:style w:type="paragraph" w:styleId="TOC4">
    <w:name w:val="toc 4"/>
    <w:basedOn w:val="Normal"/>
    <w:next w:val="Normal"/>
    <w:autoRedefine/>
    <w:uiPriority w:val="39"/>
    <w:unhideWhenUsed/>
    <w:rsid w:val="00EA574C"/>
    <w:pPr>
      <w:ind w:left="540"/>
    </w:pPr>
    <w:rPr>
      <w:rFonts w:asciiTheme="minorHAnsi" w:hAnsiTheme="minorHAnsi" w:cstheme="minorHAnsi"/>
      <w:sz w:val="20"/>
    </w:rPr>
  </w:style>
  <w:style w:type="paragraph" w:styleId="TOC5">
    <w:name w:val="toc 5"/>
    <w:basedOn w:val="Normal"/>
    <w:next w:val="Normal"/>
    <w:autoRedefine/>
    <w:uiPriority w:val="39"/>
    <w:unhideWhenUsed/>
    <w:rsid w:val="00EA574C"/>
    <w:pPr>
      <w:ind w:left="720"/>
    </w:pPr>
    <w:rPr>
      <w:rFonts w:asciiTheme="minorHAnsi" w:hAnsiTheme="minorHAnsi" w:cstheme="minorHAnsi"/>
      <w:sz w:val="20"/>
    </w:rPr>
  </w:style>
  <w:style w:type="paragraph" w:styleId="TOC6">
    <w:name w:val="toc 6"/>
    <w:basedOn w:val="Normal"/>
    <w:next w:val="Normal"/>
    <w:autoRedefine/>
    <w:uiPriority w:val="39"/>
    <w:unhideWhenUsed/>
    <w:rsid w:val="00EA574C"/>
    <w:pPr>
      <w:ind w:left="900"/>
    </w:pPr>
    <w:rPr>
      <w:rFonts w:asciiTheme="minorHAnsi" w:hAnsiTheme="minorHAnsi" w:cstheme="minorHAnsi"/>
      <w:sz w:val="20"/>
    </w:rPr>
  </w:style>
  <w:style w:type="paragraph" w:styleId="TOC7">
    <w:name w:val="toc 7"/>
    <w:basedOn w:val="Normal"/>
    <w:next w:val="Normal"/>
    <w:autoRedefine/>
    <w:uiPriority w:val="39"/>
    <w:unhideWhenUsed/>
    <w:rsid w:val="00EA574C"/>
    <w:pPr>
      <w:ind w:left="1080"/>
    </w:pPr>
    <w:rPr>
      <w:rFonts w:asciiTheme="minorHAnsi" w:hAnsiTheme="minorHAnsi" w:cstheme="minorHAnsi"/>
      <w:sz w:val="20"/>
    </w:rPr>
  </w:style>
  <w:style w:type="paragraph" w:styleId="TOC8">
    <w:name w:val="toc 8"/>
    <w:basedOn w:val="Normal"/>
    <w:next w:val="Normal"/>
    <w:autoRedefine/>
    <w:uiPriority w:val="39"/>
    <w:unhideWhenUsed/>
    <w:rsid w:val="00EA574C"/>
    <w:pPr>
      <w:ind w:left="1260"/>
    </w:pPr>
    <w:rPr>
      <w:rFonts w:asciiTheme="minorHAnsi" w:hAnsiTheme="minorHAnsi" w:cstheme="minorHAnsi"/>
      <w:sz w:val="20"/>
    </w:rPr>
  </w:style>
  <w:style w:type="paragraph" w:styleId="TOC9">
    <w:name w:val="toc 9"/>
    <w:basedOn w:val="Normal"/>
    <w:next w:val="Normal"/>
    <w:autoRedefine/>
    <w:uiPriority w:val="39"/>
    <w:unhideWhenUsed/>
    <w:rsid w:val="00EA574C"/>
    <w:pPr>
      <w:ind w:left="1440"/>
    </w:pPr>
    <w:rPr>
      <w:rFonts w:asciiTheme="minorHAnsi" w:hAnsiTheme="minorHAnsi" w:cstheme="minorHAnsi"/>
      <w:sz w:val="20"/>
    </w:rPr>
  </w:style>
  <w:style w:type="character" w:customStyle="1" w:styleId="Heading3Char">
    <w:name w:val="Heading 3 Char"/>
    <w:basedOn w:val="DefaultParagraphFont"/>
    <w:link w:val="Heading3"/>
    <w:uiPriority w:val="9"/>
    <w:rsid w:val="00430374"/>
    <w:rPr>
      <w:rFonts w:asciiTheme="majorHAnsi" w:eastAsia="Times New Roman" w:hAnsiTheme="majorHAnsi" w:cs="Times New Roman"/>
      <w:bCs/>
      <w:i/>
      <w:color w:val="002060"/>
      <w:sz w:val="32"/>
      <w:szCs w:val="44"/>
    </w:rPr>
  </w:style>
  <w:style w:type="paragraph" w:customStyle="1" w:styleId="Bullet2">
    <w:name w:val="Bullet 2"/>
    <w:aliases w:val="b2"/>
    <w:basedOn w:val="Normal"/>
    <w:qFormat/>
    <w:rsid w:val="00D20D5C"/>
    <w:pPr>
      <w:tabs>
        <w:tab w:val="num" w:pos="1080"/>
      </w:tabs>
      <w:spacing w:before="120" w:after="120"/>
      <w:ind w:left="1800" w:hanging="360"/>
    </w:pPr>
    <w:rPr>
      <w:sz w:val="20"/>
    </w:rPr>
  </w:style>
  <w:style w:type="paragraph" w:styleId="CommentText">
    <w:name w:val="annotation text"/>
    <w:basedOn w:val="Normal"/>
    <w:link w:val="CommentTextChar"/>
    <w:semiHidden/>
    <w:unhideWhenUsed/>
    <w:rsid w:val="008964AC"/>
    <w:pPr>
      <w:spacing w:after="200"/>
    </w:pPr>
    <w:rPr>
      <w:rFonts w:eastAsia="Calibri" w:cs="Arial"/>
      <w:sz w:val="20"/>
    </w:rPr>
  </w:style>
  <w:style w:type="character" w:customStyle="1" w:styleId="CommentTextChar">
    <w:name w:val="Comment Text Char"/>
    <w:basedOn w:val="DefaultParagraphFont"/>
    <w:link w:val="CommentText"/>
    <w:semiHidden/>
    <w:rsid w:val="008964AC"/>
    <w:rPr>
      <w:rFonts w:ascii="Arial" w:eastAsia="Calibri" w:hAnsi="Arial" w:cs="Arial"/>
      <w:sz w:val="20"/>
      <w:szCs w:val="20"/>
    </w:rPr>
  </w:style>
  <w:style w:type="character" w:customStyle="1" w:styleId="ListParagraphChar">
    <w:name w:val="List Paragraph Char"/>
    <w:aliases w:val="Grey Bullet List Char,Grey Bullet Style Char"/>
    <w:basedOn w:val="DefaultParagraphFont"/>
    <w:link w:val="ListParagraph"/>
    <w:uiPriority w:val="34"/>
    <w:rsid w:val="00D376FC"/>
    <w:rPr>
      <w:rFonts w:ascii="Verdana" w:eastAsia="Times New Roman" w:hAnsi="Verdana" w:cs="Times New Roman"/>
      <w:sz w:val="18"/>
      <w:szCs w:val="20"/>
    </w:rPr>
  </w:style>
  <w:style w:type="character" w:customStyle="1" w:styleId="Heading4Char">
    <w:name w:val="Heading 4 Char"/>
    <w:basedOn w:val="DefaultParagraphFont"/>
    <w:link w:val="Heading4"/>
    <w:uiPriority w:val="9"/>
    <w:rsid w:val="00E22F4F"/>
    <w:rPr>
      <w:rFonts w:asciiTheme="majorHAnsi" w:eastAsia="Times New Roman" w:hAnsiTheme="majorHAnsi" w:cs="Times New Roman"/>
      <w:bCs/>
      <w:i/>
      <w:color w:val="66FF33"/>
      <w:sz w:val="40"/>
      <w:szCs w:val="40"/>
    </w:rPr>
  </w:style>
  <w:style w:type="paragraph" w:styleId="Title">
    <w:name w:val="Title"/>
    <w:basedOn w:val="Normal"/>
    <w:next w:val="Normal"/>
    <w:link w:val="TitleChar"/>
    <w:uiPriority w:val="10"/>
    <w:qFormat/>
    <w:rsid w:val="00271191"/>
    <w:pPr>
      <w:pageBreakBefore/>
      <w:spacing w:before="240" w:after="360"/>
    </w:pPr>
    <w:rPr>
      <w:rFonts w:asciiTheme="majorHAnsi" w:hAnsiTheme="majorHAnsi"/>
      <w:bCs/>
      <w:color w:val="002060"/>
      <w:sz w:val="52"/>
      <w:szCs w:val="52"/>
    </w:rPr>
  </w:style>
  <w:style w:type="character" w:customStyle="1" w:styleId="TitleChar">
    <w:name w:val="Title Char"/>
    <w:basedOn w:val="DefaultParagraphFont"/>
    <w:link w:val="Title"/>
    <w:uiPriority w:val="10"/>
    <w:rsid w:val="00271191"/>
    <w:rPr>
      <w:rFonts w:asciiTheme="majorHAnsi" w:eastAsia="Times New Roman" w:hAnsiTheme="majorHAnsi" w:cs="Times New Roman"/>
      <w:bCs/>
      <w:color w:val="002060"/>
      <w:sz w:val="52"/>
      <w:szCs w:val="52"/>
    </w:rPr>
  </w:style>
  <w:style w:type="paragraph" w:styleId="NormalWeb">
    <w:name w:val="Normal (Web)"/>
    <w:basedOn w:val="Normal"/>
    <w:link w:val="NormalWebChar"/>
    <w:uiPriority w:val="99"/>
    <w:unhideWhenUsed/>
    <w:rsid w:val="003E7CE7"/>
    <w:rPr>
      <w:rFonts w:ascii="Times New Roman" w:hAnsi="Times New Roman"/>
      <w:sz w:val="24"/>
      <w:szCs w:val="24"/>
      <w:lang w:eastAsia="en-ZA"/>
    </w:rPr>
  </w:style>
  <w:style w:type="character" w:customStyle="1" w:styleId="NormalWebChar">
    <w:name w:val="Normal (Web) Char"/>
    <w:basedOn w:val="DefaultParagraphFont"/>
    <w:link w:val="NormalWeb"/>
    <w:uiPriority w:val="99"/>
    <w:locked/>
    <w:rsid w:val="003E7CE7"/>
    <w:rPr>
      <w:rFonts w:ascii="Times New Roman" w:eastAsia="Times New Roman" w:hAnsi="Times New Roman" w:cs="Times New Roman"/>
      <w:sz w:val="24"/>
      <w:szCs w:val="24"/>
      <w:lang w:eastAsia="en-ZA"/>
    </w:rPr>
  </w:style>
  <w:style w:type="character" w:customStyle="1" w:styleId="Heading5Char">
    <w:name w:val="Heading 5 Char"/>
    <w:basedOn w:val="DefaultParagraphFont"/>
    <w:link w:val="Heading5"/>
    <w:uiPriority w:val="9"/>
    <w:rsid w:val="00C64A8A"/>
    <w:rPr>
      <w:rFonts w:asciiTheme="majorHAnsi" w:eastAsia="Times New Roman" w:hAnsiTheme="majorHAnsi" w:cs="Times New Roman"/>
      <w:bCs/>
      <w:color w:val="002060"/>
    </w:rPr>
  </w:style>
  <w:style w:type="paragraph" w:styleId="TOCHeading">
    <w:name w:val="TOC Heading"/>
    <w:basedOn w:val="Heading1"/>
    <w:next w:val="Normal"/>
    <w:uiPriority w:val="39"/>
    <w:unhideWhenUsed/>
    <w:qFormat/>
    <w:rsid w:val="00AC319C"/>
    <w:pPr>
      <w:spacing w:before="480" w:after="0" w:line="276" w:lineRule="auto"/>
      <w:outlineLvl w:val="9"/>
    </w:pPr>
    <w:rPr>
      <w:rFonts w:cstheme="majorBidi"/>
      <w:b/>
      <w:color w:val="365F91" w:themeColor="accent1" w:themeShade="BF"/>
      <w:sz w:val="28"/>
      <w:szCs w:val="28"/>
      <w:lang w:val="en-US" w:eastAsia="ja-JP"/>
    </w:rPr>
  </w:style>
  <w:style w:type="character" w:customStyle="1" w:styleId="Heading6Char">
    <w:name w:val="Heading 6 Char"/>
    <w:basedOn w:val="DefaultParagraphFont"/>
    <w:link w:val="Heading6"/>
    <w:uiPriority w:val="9"/>
    <w:rsid w:val="00DC747A"/>
    <w:rPr>
      <w:rFonts w:ascii="Verdana" w:eastAsia="Times New Roman" w:hAnsi="Verdana" w:cs="Times New Roman"/>
      <w:b/>
      <w:bCs/>
      <w:i/>
      <w:color w:val="404040" w:themeColor="text1" w:themeTint="BF"/>
    </w:rPr>
  </w:style>
  <w:style w:type="character" w:customStyle="1" w:styleId="Heading7Char">
    <w:name w:val="Heading 7 Char"/>
    <w:basedOn w:val="DefaultParagraphFont"/>
    <w:link w:val="Heading7"/>
    <w:uiPriority w:val="9"/>
    <w:rsid w:val="00EC19F7"/>
    <w:rPr>
      <w:rFonts w:ascii="Times New Roman" w:eastAsiaTheme="majorEastAsia" w:hAnsi="Times New Roman" w:cs="Times New Roman"/>
      <w:b/>
      <w:iCs/>
      <w:sz w:val="32"/>
      <w:szCs w:val="32"/>
    </w:rPr>
  </w:style>
  <w:style w:type="paragraph" w:styleId="CommentSubject">
    <w:name w:val="annotation subject"/>
    <w:basedOn w:val="CommentText"/>
    <w:next w:val="CommentText"/>
    <w:link w:val="CommentSubjectChar"/>
    <w:uiPriority w:val="99"/>
    <w:semiHidden/>
    <w:unhideWhenUsed/>
    <w:rsid w:val="009C53BF"/>
    <w:pPr>
      <w:spacing w:after="0"/>
    </w:pPr>
    <w:rPr>
      <w:rFonts w:ascii="Verdana" w:eastAsia="Times New Roman" w:hAnsi="Verdana" w:cs="Times New Roman"/>
      <w:b/>
      <w:bCs/>
    </w:rPr>
  </w:style>
  <w:style w:type="character" w:customStyle="1" w:styleId="CommentSubjectChar">
    <w:name w:val="Comment Subject Char"/>
    <w:basedOn w:val="CommentTextChar"/>
    <w:link w:val="CommentSubject"/>
    <w:uiPriority w:val="99"/>
    <w:semiHidden/>
    <w:rsid w:val="009C53BF"/>
    <w:rPr>
      <w:rFonts w:ascii="Verdana" w:eastAsia="Times New Roman" w:hAnsi="Verdana" w:cs="Times New Roman"/>
      <w:b/>
      <w:bCs/>
      <w:sz w:val="20"/>
      <w:szCs w:val="20"/>
    </w:rPr>
  </w:style>
  <w:style w:type="table" w:customStyle="1" w:styleId="TableGrid1">
    <w:name w:val="Table Grid1"/>
    <w:basedOn w:val="TableNormal"/>
    <w:next w:val="TableGrid"/>
    <w:rsid w:val="0070350E"/>
    <w:pPr>
      <w:spacing w:after="0" w:line="240" w:lineRule="auto"/>
      <w:ind w:left="1080"/>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B827D6"/>
    <w:rPr>
      <w:rFonts w:ascii="Consolas" w:hAnsi="Consolas" w:cs="Consolas"/>
      <w:sz w:val="21"/>
      <w:szCs w:val="21"/>
    </w:rPr>
  </w:style>
  <w:style w:type="character" w:customStyle="1" w:styleId="PlainTextChar">
    <w:name w:val="Plain Text Char"/>
    <w:basedOn w:val="DefaultParagraphFont"/>
    <w:link w:val="PlainText"/>
    <w:uiPriority w:val="99"/>
    <w:semiHidden/>
    <w:rsid w:val="00B827D6"/>
    <w:rPr>
      <w:rFonts w:ascii="Consolas" w:eastAsia="Times New Roman" w:hAnsi="Consolas" w:cs="Consolas"/>
      <w:sz w:val="21"/>
      <w:szCs w:val="21"/>
    </w:rPr>
  </w:style>
  <w:style w:type="character" w:styleId="Strong">
    <w:name w:val="Strong"/>
    <w:basedOn w:val="DefaultParagraphFont"/>
    <w:uiPriority w:val="22"/>
    <w:qFormat/>
    <w:rsid w:val="00582D50"/>
    <w:rPr>
      <w:b/>
      <w:bCs/>
    </w:rPr>
  </w:style>
  <w:style w:type="character" w:styleId="Emphasis">
    <w:name w:val="Emphasis"/>
    <w:basedOn w:val="DefaultParagraphFont"/>
    <w:uiPriority w:val="20"/>
    <w:qFormat/>
    <w:rsid w:val="00582D50"/>
    <w:rPr>
      <w:i/>
      <w:iCs/>
    </w:rPr>
  </w:style>
  <w:style w:type="character" w:styleId="HTMLAcronym">
    <w:name w:val="HTML Acronym"/>
    <w:basedOn w:val="DefaultParagraphFont"/>
    <w:uiPriority w:val="99"/>
    <w:semiHidden/>
    <w:unhideWhenUsed/>
    <w:rsid w:val="003F6268"/>
    <w:rPr>
      <w:color w:val="666666"/>
    </w:rPr>
  </w:style>
  <w:style w:type="character" w:customStyle="1" w:styleId="Bodytext10">
    <w:name w:val="Body text (10)_"/>
    <w:basedOn w:val="DefaultParagraphFont"/>
    <w:link w:val="Bodytext101"/>
    <w:uiPriority w:val="99"/>
    <w:rsid w:val="008C1450"/>
    <w:rPr>
      <w:rFonts w:ascii="Garamond" w:hAnsi="Garamond" w:cs="Garamond"/>
      <w:b/>
      <w:bCs/>
      <w:shd w:val="clear" w:color="auto" w:fill="FFFFFF"/>
    </w:rPr>
  </w:style>
  <w:style w:type="character" w:customStyle="1" w:styleId="Bodytext16">
    <w:name w:val="Body text (16)_"/>
    <w:basedOn w:val="DefaultParagraphFont"/>
    <w:link w:val="Bodytext160"/>
    <w:uiPriority w:val="99"/>
    <w:rsid w:val="008C1450"/>
    <w:rPr>
      <w:rFonts w:ascii="Angsana New" w:hAnsi="Angsana New" w:cs="Angsana New"/>
      <w:i/>
      <w:iCs/>
      <w:sz w:val="36"/>
      <w:szCs w:val="36"/>
      <w:shd w:val="clear" w:color="auto" w:fill="FFFFFF"/>
    </w:rPr>
  </w:style>
  <w:style w:type="paragraph" w:customStyle="1" w:styleId="Bodytext101">
    <w:name w:val="Body text (10)1"/>
    <w:basedOn w:val="Normal"/>
    <w:link w:val="Bodytext10"/>
    <w:uiPriority w:val="99"/>
    <w:rsid w:val="008C1450"/>
    <w:pPr>
      <w:shd w:val="clear" w:color="auto" w:fill="FFFFFF"/>
      <w:spacing w:after="1860" w:line="538" w:lineRule="exact"/>
      <w:ind w:hanging="740"/>
    </w:pPr>
    <w:rPr>
      <w:rFonts w:ascii="Garamond" w:eastAsiaTheme="minorHAnsi" w:hAnsi="Garamond" w:cs="Garamond"/>
      <w:b/>
      <w:bCs/>
      <w:szCs w:val="22"/>
    </w:rPr>
  </w:style>
  <w:style w:type="paragraph" w:customStyle="1" w:styleId="Bodytext160">
    <w:name w:val="Body text (16)"/>
    <w:basedOn w:val="Normal"/>
    <w:link w:val="Bodytext16"/>
    <w:uiPriority w:val="99"/>
    <w:rsid w:val="008C1450"/>
    <w:pPr>
      <w:shd w:val="clear" w:color="auto" w:fill="FFFFFF"/>
      <w:spacing w:line="274" w:lineRule="exact"/>
    </w:pPr>
    <w:rPr>
      <w:rFonts w:ascii="Angsana New" w:eastAsiaTheme="minorHAnsi" w:hAnsi="Angsana New" w:cs="Angsana New"/>
      <w:i/>
      <w:iCs/>
      <w:sz w:val="36"/>
      <w:szCs w:val="36"/>
    </w:rPr>
  </w:style>
  <w:style w:type="paragraph" w:styleId="FootnoteText">
    <w:name w:val="footnote text"/>
    <w:basedOn w:val="Normal"/>
    <w:link w:val="FootnoteTextChar"/>
    <w:semiHidden/>
    <w:unhideWhenUsed/>
    <w:rsid w:val="000541EE"/>
    <w:rPr>
      <w:sz w:val="20"/>
    </w:rPr>
  </w:style>
  <w:style w:type="character" w:customStyle="1" w:styleId="FootnoteTextChar">
    <w:name w:val="Footnote Text Char"/>
    <w:basedOn w:val="DefaultParagraphFont"/>
    <w:link w:val="FootnoteText"/>
    <w:rsid w:val="000541EE"/>
    <w:rPr>
      <w:rFonts w:ascii="Verdana" w:eastAsia="Times New Roman" w:hAnsi="Verdana" w:cs="Times New Roman"/>
      <w:sz w:val="20"/>
      <w:szCs w:val="20"/>
    </w:rPr>
  </w:style>
  <w:style w:type="character" w:styleId="FootnoteReference">
    <w:name w:val="footnote reference"/>
    <w:basedOn w:val="DefaultParagraphFont"/>
    <w:semiHidden/>
    <w:unhideWhenUsed/>
    <w:rsid w:val="000541EE"/>
    <w:rPr>
      <w:vertAlign w:val="superscript"/>
    </w:rPr>
  </w:style>
  <w:style w:type="paragraph" w:styleId="Revision">
    <w:name w:val="Revision"/>
    <w:hidden/>
    <w:uiPriority w:val="99"/>
    <w:semiHidden/>
    <w:rsid w:val="00CD3167"/>
    <w:pPr>
      <w:spacing w:after="0" w:line="240" w:lineRule="auto"/>
    </w:pPr>
    <w:rPr>
      <w:rFonts w:ascii="Verdana" w:eastAsia="Times New Roman" w:hAnsi="Verdana" w:cs="Times New Roman"/>
      <w:sz w:val="18"/>
      <w:szCs w:val="20"/>
    </w:rPr>
  </w:style>
  <w:style w:type="paragraph" w:styleId="ListBullet">
    <w:name w:val="List Bullet"/>
    <w:basedOn w:val="BodyText"/>
    <w:uiPriority w:val="99"/>
    <w:rsid w:val="00232A24"/>
    <w:pPr>
      <w:numPr>
        <w:numId w:val="3"/>
      </w:numPr>
      <w:spacing w:before="130" w:after="130"/>
    </w:pPr>
    <w:rPr>
      <w:rFonts w:ascii="Times New Roman" w:hAnsi="Times New Roman"/>
      <w:lang w:val="en-US"/>
    </w:rPr>
  </w:style>
  <w:style w:type="paragraph" w:styleId="Subtitle">
    <w:name w:val="Subtitle"/>
    <w:basedOn w:val="Heading5"/>
    <w:next w:val="Normal"/>
    <w:link w:val="SubtitleChar"/>
    <w:uiPriority w:val="11"/>
    <w:qFormat/>
    <w:rsid w:val="00087B82"/>
    <w:rPr>
      <w:i/>
      <w:sz w:val="32"/>
      <w:szCs w:val="52"/>
    </w:rPr>
  </w:style>
  <w:style w:type="character" w:customStyle="1" w:styleId="SubtitleChar">
    <w:name w:val="Subtitle Char"/>
    <w:basedOn w:val="DefaultParagraphFont"/>
    <w:link w:val="Subtitle"/>
    <w:uiPriority w:val="11"/>
    <w:rsid w:val="00087B82"/>
    <w:rPr>
      <w:rFonts w:asciiTheme="majorHAnsi" w:eastAsia="Times New Roman" w:hAnsiTheme="majorHAnsi" w:cs="Times New Roman"/>
      <w:bCs/>
      <w:i/>
      <w:color w:val="002060"/>
      <w:sz w:val="32"/>
      <w:szCs w:val="52"/>
    </w:rPr>
  </w:style>
  <w:style w:type="character" w:customStyle="1" w:styleId="Heading8Char">
    <w:name w:val="Heading 8 Char"/>
    <w:basedOn w:val="DefaultParagraphFont"/>
    <w:link w:val="Heading8"/>
    <w:uiPriority w:val="9"/>
    <w:semiHidden/>
    <w:rsid w:val="00547B17"/>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547B17"/>
    <w:pPr>
      <w:spacing w:after="120" w:line="480" w:lineRule="auto"/>
    </w:pPr>
  </w:style>
  <w:style w:type="character" w:customStyle="1" w:styleId="BodyText2Char">
    <w:name w:val="Body Text 2 Char"/>
    <w:basedOn w:val="DefaultParagraphFont"/>
    <w:link w:val="BodyText2"/>
    <w:uiPriority w:val="99"/>
    <w:semiHidden/>
    <w:rsid w:val="00547B17"/>
    <w:rPr>
      <w:rFonts w:ascii="Verdana" w:eastAsia="Times New Roman" w:hAnsi="Verdana" w:cs="Times New Roman"/>
      <w:sz w:val="18"/>
      <w:szCs w:val="20"/>
    </w:rPr>
  </w:style>
  <w:style w:type="paragraph" w:customStyle="1" w:styleId="zcontents">
    <w:name w:val="zcontents"/>
    <w:basedOn w:val="Normal"/>
    <w:semiHidden/>
    <w:rsid w:val="00547B17"/>
    <w:pPr>
      <w:spacing w:after="260"/>
    </w:pPr>
    <w:rPr>
      <w:rFonts w:ascii="Times New Roman" w:hAnsi="Times New Roman"/>
      <w:b/>
      <w:sz w:val="32"/>
      <w:lang w:val="en-US"/>
    </w:rPr>
  </w:style>
  <w:style w:type="character" w:styleId="FollowedHyperlink">
    <w:name w:val="FollowedHyperlink"/>
    <w:basedOn w:val="DefaultParagraphFont"/>
    <w:uiPriority w:val="99"/>
    <w:semiHidden/>
    <w:unhideWhenUsed/>
    <w:rsid w:val="00B856BD"/>
    <w:rPr>
      <w:color w:val="800080" w:themeColor="followedHyperlink"/>
      <w:u w:val="single"/>
    </w:rPr>
  </w:style>
  <w:style w:type="table" w:customStyle="1" w:styleId="GridTable5DarkAccent2">
    <w:name w:val="Grid Table 5 Dark Accent 2"/>
    <w:basedOn w:val="TableNormal"/>
    <w:uiPriority w:val="50"/>
    <w:rsid w:val="008D5C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2">
    <w:name w:val="Grid Table 4 Accent 2"/>
    <w:basedOn w:val="TableNormal"/>
    <w:uiPriority w:val="49"/>
    <w:rsid w:val="008D5CC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odyText3">
    <w:name w:val="Body Text 3"/>
    <w:basedOn w:val="Normal"/>
    <w:link w:val="BodyText3Char"/>
    <w:rsid w:val="00761EC3"/>
    <w:pPr>
      <w:spacing w:line="240" w:lineRule="auto"/>
      <w:jc w:val="left"/>
    </w:pPr>
    <w:rPr>
      <w:rFonts w:eastAsia="Batang" w:cs="Arial"/>
      <w:sz w:val="20"/>
      <w:szCs w:val="24"/>
      <w:lang w:val="en-CA" w:eastAsia="ko-KR"/>
    </w:rPr>
  </w:style>
  <w:style w:type="character" w:customStyle="1" w:styleId="BodyText3Char">
    <w:name w:val="Body Text 3 Char"/>
    <w:basedOn w:val="DefaultParagraphFont"/>
    <w:link w:val="BodyText3"/>
    <w:rsid w:val="00761EC3"/>
    <w:rPr>
      <w:rFonts w:ascii="Arial" w:eastAsia="Batang" w:hAnsi="Arial" w:cs="Arial"/>
      <w:sz w:val="20"/>
      <w:szCs w:val="24"/>
      <w:lang w:val="en-CA"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559"/>
    <w:pPr>
      <w:spacing w:after="0" w:line="360" w:lineRule="auto"/>
      <w:jc w:val="both"/>
    </w:pPr>
    <w:rPr>
      <w:rFonts w:ascii="Arial" w:eastAsia="Times New Roman" w:hAnsi="Arial" w:cs="Times New Roman"/>
      <w:szCs w:val="20"/>
    </w:rPr>
  </w:style>
  <w:style w:type="paragraph" w:styleId="Heading1">
    <w:name w:val="heading 1"/>
    <w:aliases w:val="(Chapter Nbr),H1,Header1,Heading 1.1,Hdg 1-SPIRIT,h1, 1-SPIRIT,1-SPIRIT,1.,Para1,Top 1,ParaLevel1,Level 1 Para,Level 1 Para1,Level 1 Para2,Level 1 Para3,Level 1 Para4,Level 1 Para11,Level 1 Para21,Level 1 Para31,Level 1 Para5,Level 1 Para12,g"/>
    <w:basedOn w:val="Subtitle"/>
    <w:next w:val="Normal"/>
    <w:link w:val="Heading1Char"/>
    <w:uiPriority w:val="9"/>
    <w:qFormat/>
    <w:rsid w:val="004E16D0"/>
    <w:pPr>
      <w:outlineLvl w:val="0"/>
    </w:pPr>
  </w:style>
  <w:style w:type="paragraph" w:styleId="Heading2">
    <w:name w:val="heading 2"/>
    <w:aliases w:val="H2,Heading 2.2,h2,h2 main heading,Chapter Title,heading,Heading,1,head2,heading8,0,Subhead A,Subhead B,Heading 21,A,heading 2,head II,section 1.1,2m,S&amp;P Heading 2,fred2,UNDERRUBRIK 1-2,Chapter Number/Appendix Letter,chn,2 headline,21,A.B.C."/>
    <w:basedOn w:val="Title"/>
    <w:next w:val="BodyText"/>
    <w:link w:val="Heading2Char"/>
    <w:uiPriority w:val="9"/>
    <w:qFormat/>
    <w:rsid w:val="00E6759E"/>
    <w:pPr>
      <w:ind w:left="2880" w:hanging="2880"/>
      <w:jc w:val="left"/>
      <w:outlineLvl w:val="1"/>
    </w:pPr>
  </w:style>
  <w:style w:type="paragraph" w:styleId="Heading3">
    <w:name w:val="heading 3"/>
    <w:basedOn w:val="Heading2"/>
    <w:next w:val="Normal"/>
    <w:link w:val="Heading3Char"/>
    <w:uiPriority w:val="9"/>
    <w:unhideWhenUsed/>
    <w:qFormat/>
    <w:rsid w:val="00430374"/>
    <w:pPr>
      <w:pageBreakBefore w:val="0"/>
      <w:numPr>
        <w:numId w:val="16"/>
      </w:numPr>
      <w:outlineLvl w:val="2"/>
    </w:pPr>
    <w:rPr>
      <w:i/>
      <w:sz w:val="32"/>
      <w:szCs w:val="44"/>
    </w:rPr>
  </w:style>
  <w:style w:type="paragraph" w:styleId="Heading4">
    <w:name w:val="heading 4"/>
    <w:basedOn w:val="Heading3"/>
    <w:next w:val="Normal"/>
    <w:link w:val="Heading4Char"/>
    <w:uiPriority w:val="9"/>
    <w:unhideWhenUsed/>
    <w:qFormat/>
    <w:rsid w:val="00E22F4F"/>
    <w:pPr>
      <w:numPr>
        <w:ilvl w:val="1"/>
        <w:numId w:val="5"/>
      </w:numPr>
      <w:outlineLvl w:val="3"/>
    </w:pPr>
    <w:rPr>
      <w:color w:val="66FF33"/>
      <w:sz w:val="40"/>
      <w:szCs w:val="40"/>
    </w:rPr>
  </w:style>
  <w:style w:type="paragraph" w:styleId="Heading5">
    <w:name w:val="heading 5"/>
    <w:basedOn w:val="Heading2"/>
    <w:next w:val="Normal"/>
    <w:link w:val="Heading5Char"/>
    <w:uiPriority w:val="9"/>
    <w:unhideWhenUsed/>
    <w:qFormat/>
    <w:rsid w:val="00C64A8A"/>
    <w:pPr>
      <w:pageBreakBefore w:val="0"/>
      <w:ind w:left="0" w:firstLine="0"/>
      <w:outlineLvl w:val="4"/>
    </w:pPr>
    <w:rPr>
      <w:sz w:val="22"/>
      <w:szCs w:val="22"/>
    </w:rPr>
  </w:style>
  <w:style w:type="paragraph" w:styleId="Heading6">
    <w:name w:val="heading 6"/>
    <w:basedOn w:val="Heading3"/>
    <w:next w:val="Normal"/>
    <w:link w:val="Heading6Char"/>
    <w:uiPriority w:val="9"/>
    <w:unhideWhenUsed/>
    <w:qFormat/>
    <w:rsid w:val="00DC747A"/>
    <w:pPr>
      <w:numPr>
        <w:numId w:val="2"/>
      </w:numPr>
      <w:spacing w:after="240"/>
      <w:ind w:left="1134" w:hanging="425"/>
      <w:outlineLvl w:val="5"/>
    </w:pPr>
    <w:rPr>
      <w:rFonts w:ascii="Verdana" w:hAnsi="Verdana"/>
      <w:b/>
      <w:color w:val="404040" w:themeColor="text1" w:themeTint="BF"/>
      <w:sz w:val="22"/>
      <w:szCs w:val="22"/>
    </w:rPr>
  </w:style>
  <w:style w:type="paragraph" w:styleId="Heading7">
    <w:name w:val="heading 7"/>
    <w:basedOn w:val="Normal"/>
    <w:next w:val="Normal"/>
    <w:link w:val="Heading7Char"/>
    <w:uiPriority w:val="9"/>
    <w:unhideWhenUsed/>
    <w:qFormat/>
    <w:rsid w:val="00EC19F7"/>
    <w:pPr>
      <w:keepNext/>
      <w:keepLines/>
      <w:numPr>
        <w:numId w:val="4"/>
      </w:numPr>
      <w:spacing w:before="360" w:after="240"/>
      <w:outlineLvl w:val="6"/>
    </w:pPr>
    <w:rPr>
      <w:rFonts w:ascii="Times New Roman" w:eastAsiaTheme="majorEastAsia" w:hAnsi="Times New Roman"/>
      <w:b/>
      <w:iCs/>
      <w:sz w:val="32"/>
      <w:szCs w:val="32"/>
    </w:rPr>
  </w:style>
  <w:style w:type="paragraph" w:styleId="Heading8">
    <w:name w:val="heading 8"/>
    <w:basedOn w:val="Normal"/>
    <w:next w:val="Normal"/>
    <w:link w:val="Heading8Char"/>
    <w:uiPriority w:val="9"/>
    <w:semiHidden/>
    <w:unhideWhenUsed/>
    <w:qFormat/>
    <w:rsid w:val="00547B17"/>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Grey Bullet List,Grey Bullet Style"/>
    <w:basedOn w:val="Normal"/>
    <w:link w:val="ListParagraphChar"/>
    <w:uiPriority w:val="34"/>
    <w:qFormat/>
    <w:rsid w:val="00742279"/>
    <w:pPr>
      <w:ind w:left="720"/>
      <w:contextualSpacing/>
    </w:pPr>
  </w:style>
  <w:style w:type="paragraph" w:styleId="Header">
    <w:name w:val="header"/>
    <w:basedOn w:val="Normal"/>
    <w:link w:val="HeaderChar"/>
    <w:uiPriority w:val="99"/>
    <w:unhideWhenUsed/>
    <w:rsid w:val="00625AF6"/>
    <w:pPr>
      <w:tabs>
        <w:tab w:val="center" w:pos="4513"/>
        <w:tab w:val="right" w:pos="9026"/>
      </w:tabs>
    </w:pPr>
  </w:style>
  <w:style w:type="character" w:customStyle="1" w:styleId="HeaderChar">
    <w:name w:val="Header Char"/>
    <w:basedOn w:val="DefaultParagraphFont"/>
    <w:link w:val="Header"/>
    <w:uiPriority w:val="99"/>
    <w:rsid w:val="00625AF6"/>
  </w:style>
  <w:style w:type="paragraph" w:styleId="Footer">
    <w:name w:val="footer"/>
    <w:basedOn w:val="Normal"/>
    <w:link w:val="FooterChar"/>
    <w:uiPriority w:val="99"/>
    <w:unhideWhenUsed/>
    <w:rsid w:val="00625AF6"/>
    <w:pPr>
      <w:tabs>
        <w:tab w:val="center" w:pos="4513"/>
        <w:tab w:val="right" w:pos="9026"/>
      </w:tabs>
    </w:pPr>
  </w:style>
  <w:style w:type="character" w:customStyle="1" w:styleId="FooterChar">
    <w:name w:val="Footer Char"/>
    <w:basedOn w:val="DefaultParagraphFont"/>
    <w:link w:val="Footer"/>
    <w:uiPriority w:val="99"/>
    <w:rsid w:val="00625AF6"/>
  </w:style>
  <w:style w:type="character" w:styleId="Hyperlink">
    <w:name w:val="Hyperlink"/>
    <w:basedOn w:val="DefaultParagraphFont"/>
    <w:uiPriority w:val="99"/>
    <w:unhideWhenUsed/>
    <w:rsid w:val="00864213"/>
    <w:rPr>
      <w:color w:val="0000FF"/>
      <w:u w:val="single"/>
    </w:rPr>
  </w:style>
  <w:style w:type="paragraph" w:customStyle="1" w:styleId="Default">
    <w:name w:val="Default"/>
    <w:rsid w:val="00BA3B3F"/>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aliases w:val="H2 Char,Heading 2.2 Char,h2 Char,h2 main heading Char,Chapter Title Char,heading Char,Heading Char,1 Char,head2 Char,heading8 Char,0 Char,Subhead A Char,Subhead B Char,Heading 21 Char,A Char,heading 2 Char,head II Char,section 1.1 Char"/>
    <w:basedOn w:val="DefaultParagraphFont"/>
    <w:link w:val="Heading2"/>
    <w:uiPriority w:val="9"/>
    <w:rsid w:val="00E6759E"/>
    <w:rPr>
      <w:rFonts w:asciiTheme="majorHAnsi" w:eastAsia="Times New Roman" w:hAnsiTheme="majorHAnsi" w:cs="Times New Roman"/>
      <w:bCs/>
      <w:color w:val="002060"/>
      <w:sz w:val="52"/>
      <w:szCs w:val="52"/>
    </w:rPr>
  </w:style>
  <w:style w:type="paragraph" w:styleId="BodyText">
    <w:name w:val="Body Text"/>
    <w:basedOn w:val="Normal"/>
    <w:link w:val="BodyTextChar"/>
    <w:uiPriority w:val="99"/>
    <w:rsid w:val="00580EF3"/>
    <w:pPr>
      <w:spacing w:after="180"/>
    </w:pPr>
  </w:style>
  <w:style w:type="character" w:customStyle="1" w:styleId="BodyTextChar">
    <w:name w:val="Body Text Char"/>
    <w:basedOn w:val="DefaultParagraphFont"/>
    <w:link w:val="BodyText"/>
    <w:uiPriority w:val="99"/>
    <w:rsid w:val="00580EF3"/>
    <w:rPr>
      <w:rFonts w:ascii="Verdana" w:eastAsia="Times New Roman" w:hAnsi="Verdana" w:cs="Times New Roman"/>
      <w:sz w:val="18"/>
      <w:szCs w:val="20"/>
    </w:rPr>
  </w:style>
  <w:style w:type="character" w:styleId="CommentReference">
    <w:name w:val="annotation reference"/>
    <w:basedOn w:val="DefaultParagraphFont"/>
    <w:semiHidden/>
    <w:rsid w:val="00580EF3"/>
    <w:rPr>
      <w:rFonts w:cs="Times New Roman"/>
      <w:sz w:val="16"/>
      <w:szCs w:val="16"/>
    </w:rPr>
  </w:style>
  <w:style w:type="character" w:customStyle="1" w:styleId="CaptionbodyChar">
    <w:name w:val="Caption body Char"/>
    <w:basedOn w:val="DefaultParagraphFont"/>
    <w:link w:val="Captionbody"/>
    <w:rsid w:val="00580EF3"/>
    <w:rPr>
      <w:rFonts w:ascii="Arial" w:hAnsi="Arial"/>
      <w:color w:val="000000"/>
      <w:sz w:val="18"/>
    </w:rPr>
  </w:style>
  <w:style w:type="paragraph" w:customStyle="1" w:styleId="Captionbody">
    <w:name w:val="Caption body"/>
    <w:link w:val="CaptionbodyChar"/>
    <w:rsid w:val="00580EF3"/>
    <w:pPr>
      <w:spacing w:after="80" w:line="200" w:lineRule="exact"/>
    </w:pPr>
    <w:rPr>
      <w:rFonts w:ascii="Arial" w:hAnsi="Arial"/>
      <w:color w:val="000000"/>
      <w:sz w:val="18"/>
    </w:rPr>
  </w:style>
  <w:style w:type="paragraph" w:customStyle="1" w:styleId="BSubheading-Blue">
    <w:name w:val="B Subheading - Blue"/>
    <w:basedOn w:val="Heading2"/>
    <w:link w:val="BSubheading-BlueChar"/>
    <w:rsid w:val="00580EF3"/>
    <w:pPr>
      <w:spacing w:before="320" w:after="120"/>
    </w:pPr>
    <w:rPr>
      <w:rFonts w:ascii="Arial" w:eastAsia="Times" w:hAnsi="Arial"/>
      <w:noProof/>
      <w:color w:val="00A1DE"/>
      <w:sz w:val="24"/>
      <w:szCs w:val="24"/>
      <w:lang w:val="en-US"/>
    </w:rPr>
  </w:style>
  <w:style w:type="character" w:customStyle="1" w:styleId="BSubheading-BlueChar">
    <w:name w:val="B Subheading - Blue Char"/>
    <w:basedOn w:val="Heading2Char"/>
    <w:link w:val="BSubheading-Blue"/>
    <w:rsid w:val="00580EF3"/>
    <w:rPr>
      <w:rFonts w:ascii="Arial" w:eastAsia="Times" w:hAnsi="Arial" w:cs="Times New Roman"/>
      <w:bCs/>
      <w:noProof/>
      <w:color w:val="00A1DE"/>
      <w:sz w:val="24"/>
      <w:szCs w:val="24"/>
      <w:lang w:val="en-US"/>
    </w:rPr>
  </w:style>
  <w:style w:type="paragraph" w:customStyle="1" w:styleId="APageheading">
    <w:name w:val="A Page heading"/>
    <w:basedOn w:val="Heading1"/>
    <w:link w:val="APageheadingChar"/>
    <w:rsid w:val="00580EF3"/>
    <w:pPr>
      <w:spacing w:before="0" w:after="1600"/>
    </w:pPr>
    <w:rPr>
      <w:rFonts w:eastAsia="Times"/>
      <w:b/>
      <w:bCs w:val="0"/>
      <w:noProof/>
      <w:color w:val="002776"/>
      <w:kern w:val="32"/>
      <w:sz w:val="60"/>
      <w:szCs w:val="60"/>
      <w:lang w:val="en-GB"/>
    </w:rPr>
  </w:style>
  <w:style w:type="character" w:customStyle="1" w:styleId="APageheadingChar">
    <w:name w:val="A Page heading Char"/>
    <w:basedOn w:val="DefaultParagraphFont"/>
    <w:link w:val="APageheading"/>
    <w:rsid w:val="00580EF3"/>
    <w:rPr>
      <w:rFonts w:asciiTheme="majorHAnsi" w:eastAsia="Times" w:hAnsiTheme="majorHAnsi" w:cs="Times New Roman"/>
      <w:b/>
      <w:i/>
      <w:noProof/>
      <w:color w:val="002776"/>
      <w:kern w:val="32"/>
      <w:sz w:val="60"/>
      <w:szCs w:val="60"/>
      <w:lang w:val="en-GB"/>
    </w:rPr>
  </w:style>
  <w:style w:type="paragraph" w:customStyle="1" w:styleId="Paragraph">
    <w:name w:val="Paragraph"/>
    <w:basedOn w:val="Normal"/>
    <w:next w:val="Captionbody"/>
    <w:uiPriority w:val="99"/>
    <w:qFormat/>
    <w:rsid w:val="00580EF3"/>
    <w:pPr>
      <w:spacing w:before="240" w:after="240" w:line="276" w:lineRule="auto"/>
    </w:pPr>
    <w:rPr>
      <w:rFonts w:eastAsia="Times"/>
      <w:color w:val="000000"/>
      <w:sz w:val="20"/>
    </w:rPr>
  </w:style>
  <w:style w:type="paragraph" w:customStyle="1" w:styleId="tablehead">
    <w:name w:val="tablehead"/>
    <w:aliases w:val="th"/>
    <w:basedOn w:val="Normal"/>
    <w:next w:val="Normal"/>
    <w:rsid w:val="00580EF3"/>
    <w:pPr>
      <w:keepNext/>
      <w:spacing w:before="80" w:after="80"/>
      <w:jc w:val="center"/>
    </w:pPr>
    <w:rPr>
      <w:b/>
      <w:lang w:val="en-US"/>
    </w:rPr>
  </w:style>
  <w:style w:type="paragraph" w:customStyle="1" w:styleId="text">
    <w:name w:val="text"/>
    <w:aliases w:val="t"/>
    <w:basedOn w:val="Normal"/>
    <w:qFormat/>
    <w:rsid w:val="00580EF3"/>
    <w:pPr>
      <w:spacing w:before="120" w:after="120"/>
      <w:ind w:left="936"/>
    </w:pPr>
    <w:rPr>
      <w:rFonts w:cs="Arial"/>
      <w:sz w:val="20"/>
      <w:lang w:val="en-US"/>
    </w:rPr>
  </w:style>
  <w:style w:type="character" w:customStyle="1" w:styleId="Heading1Char">
    <w:name w:val="Heading 1 Char"/>
    <w:aliases w:val="(Chapter Nbr) Char,H1 Char,Header1 Char,Heading 1.1 Char,Hdg 1-SPIRIT Char,h1 Char, 1-SPIRIT Char,1-SPIRIT Char,1. Char,Para1 Char,Top 1 Char,ParaLevel1 Char,Level 1 Para Char,Level 1 Para1 Char,Level 1 Para2 Char,Level 1 Para3 Char"/>
    <w:basedOn w:val="DefaultParagraphFont"/>
    <w:link w:val="Heading1"/>
    <w:uiPriority w:val="9"/>
    <w:rsid w:val="004E16D0"/>
    <w:rPr>
      <w:rFonts w:asciiTheme="majorHAnsi" w:eastAsia="Times New Roman" w:hAnsiTheme="majorHAnsi" w:cs="Times New Roman"/>
      <w:bCs/>
      <w:i/>
      <w:color w:val="002060"/>
      <w:sz w:val="52"/>
      <w:szCs w:val="52"/>
    </w:rPr>
  </w:style>
  <w:style w:type="paragraph" w:styleId="BalloonText">
    <w:name w:val="Balloon Text"/>
    <w:basedOn w:val="Normal"/>
    <w:link w:val="BalloonTextChar"/>
    <w:uiPriority w:val="99"/>
    <w:semiHidden/>
    <w:unhideWhenUsed/>
    <w:rsid w:val="00580EF3"/>
    <w:rPr>
      <w:rFonts w:ascii="Tahoma" w:hAnsi="Tahoma" w:cs="Tahoma"/>
      <w:sz w:val="16"/>
      <w:szCs w:val="16"/>
    </w:rPr>
  </w:style>
  <w:style w:type="character" w:customStyle="1" w:styleId="BalloonTextChar">
    <w:name w:val="Balloon Text Char"/>
    <w:basedOn w:val="DefaultParagraphFont"/>
    <w:link w:val="BalloonText"/>
    <w:uiPriority w:val="99"/>
    <w:semiHidden/>
    <w:rsid w:val="00580EF3"/>
    <w:rPr>
      <w:rFonts w:ascii="Tahoma" w:eastAsia="Times New Roman" w:hAnsi="Tahoma" w:cs="Tahoma"/>
      <w:sz w:val="16"/>
      <w:szCs w:val="16"/>
    </w:rPr>
  </w:style>
  <w:style w:type="paragraph" w:styleId="TOC2">
    <w:name w:val="toc 2"/>
    <w:basedOn w:val="Heading3"/>
    <w:next w:val="Normal"/>
    <w:autoRedefine/>
    <w:uiPriority w:val="39"/>
    <w:unhideWhenUsed/>
    <w:qFormat/>
    <w:rsid w:val="004212F1"/>
    <w:rPr>
      <w:sz w:val="40"/>
      <w:szCs w:val="40"/>
    </w:rPr>
  </w:style>
  <w:style w:type="paragraph" w:customStyle="1" w:styleId="TableTitle">
    <w:name w:val="Table Title"/>
    <w:basedOn w:val="Normal"/>
    <w:rsid w:val="00580EF3"/>
    <w:pPr>
      <w:keepNext/>
      <w:spacing w:before="120" w:after="120"/>
      <w:jc w:val="center"/>
    </w:pPr>
    <w:rPr>
      <w:b/>
      <w:sz w:val="20"/>
    </w:rPr>
  </w:style>
  <w:style w:type="paragraph" w:customStyle="1" w:styleId="table">
    <w:name w:val="table"/>
    <w:aliases w:val="ta"/>
    <w:basedOn w:val="Normal"/>
    <w:qFormat/>
    <w:rsid w:val="00580EF3"/>
    <w:pPr>
      <w:spacing w:before="60" w:after="60"/>
    </w:pPr>
    <w:rPr>
      <w:rFonts w:cs="Arial"/>
      <w:szCs w:val="18"/>
      <w:lang w:val="en-US"/>
    </w:rPr>
  </w:style>
  <w:style w:type="paragraph" w:styleId="TOC1">
    <w:name w:val="toc 1"/>
    <w:basedOn w:val="Title"/>
    <w:next w:val="Normal"/>
    <w:autoRedefine/>
    <w:uiPriority w:val="39"/>
    <w:unhideWhenUsed/>
    <w:qFormat/>
    <w:rsid w:val="008A7189"/>
  </w:style>
  <w:style w:type="character" w:customStyle="1" w:styleId="A1">
    <w:name w:val="A1"/>
    <w:uiPriority w:val="99"/>
    <w:rsid w:val="008B7A76"/>
    <w:rPr>
      <w:rFonts w:cs="Frutiger Next Pro Bold"/>
      <w:b/>
      <w:bCs/>
      <w:color w:val="000000"/>
      <w:sz w:val="19"/>
      <w:szCs w:val="19"/>
    </w:rPr>
  </w:style>
  <w:style w:type="paragraph" w:customStyle="1" w:styleId="Pa4">
    <w:name w:val="Pa4"/>
    <w:basedOn w:val="Default"/>
    <w:next w:val="Default"/>
    <w:uiPriority w:val="99"/>
    <w:rsid w:val="008B7A76"/>
    <w:pPr>
      <w:spacing w:line="191" w:lineRule="atLeast"/>
    </w:pPr>
    <w:rPr>
      <w:rFonts w:ascii="Frutiger Next Pro Light" w:eastAsia="Calibri" w:hAnsi="Frutiger Next Pro Light"/>
      <w:color w:val="auto"/>
      <w:lang w:eastAsia="en-ZA"/>
    </w:rPr>
  </w:style>
  <w:style w:type="paragraph" w:customStyle="1" w:styleId="h3">
    <w:name w:val="h3"/>
    <w:basedOn w:val="Normal"/>
    <w:qFormat/>
    <w:rsid w:val="00C06283"/>
    <w:pPr>
      <w:keepNext/>
      <w:tabs>
        <w:tab w:val="left" w:pos="284"/>
        <w:tab w:val="left" w:pos="936"/>
      </w:tabs>
      <w:spacing w:before="240" w:after="120"/>
      <w:ind w:left="284"/>
    </w:pPr>
    <w:rPr>
      <w:b/>
      <w:bCs/>
      <w:color w:val="3232CE"/>
      <w:sz w:val="24"/>
      <w:szCs w:val="24"/>
      <w:lang w:val="en-US"/>
    </w:rPr>
  </w:style>
  <w:style w:type="character" w:customStyle="1" w:styleId="A10">
    <w:name w:val="A10"/>
    <w:uiPriority w:val="99"/>
    <w:rsid w:val="003A4225"/>
    <w:rPr>
      <w:rFonts w:cs="Frutiger Next Pro Light"/>
      <w:color w:val="000000"/>
      <w:sz w:val="19"/>
      <w:szCs w:val="19"/>
    </w:rPr>
  </w:style>
  <w:style w:type="paragraph" w:styleId="TOC3">
    <w:name w:val="toc 3"/>
    <w:basedOn w:val="Normal"/>
    <w:next w:val="Normal"/>
    <w:autoRedefine/>
    <w:uiPriority w:val="39"/>
    <w:unhideWhenUsed/>
    <w:qFormat/>
    <w:rsid w:val="00634AD8"/>
    <w:pPr>
      <w:tabs>
        <w:tab w:val="left" w:pos="900"/>
        <w:tab w:val="left" w:pos="8910"/>
        <w:tab w:val="right" w:leader="dot" w:pos="9288"/>
      </w:tabs>
      <w:ind w:left="360"/>
    </w:pPr>
    <w:rPr>
      <w:rFonts w:asciiTheme="minorHAnsi" w:hAnsiTheme="minorHAnsi" w:cstheme="minorHAnsi"/>
      <w:noProof/>
      <w:sz w:val="18"/>
      <w:szCs w:val="18"/>
    </w:rPr>
  </w:style>
  <w:style w:type="paragraph" w:styleId="TOC4">
    <w:name w:val="toc 4"/>
    <w:basedOn w:val="Normal"/>
    <w:next w:val="Normal"/>
    <w:autoRedefine/>
    <w:uiPriority w:val="39"/>
    <w:unhideWhenUsed/>
    <w:rsid w:val="00EA574C"/>
    <w:pPr>
      <w:ind w:left="540"/>
    </w:pPr>
    <w:rPr>
      <w:rFonts w:asciiTheme="minorHAnsi" w:hAnsiTheme="minorHAnsi" w:cstheme="minorHAnsi"/>
      <w:sz w:val="20"/>
    </w:rPr>
  </w:style>
  <w:style w:type="paragraph" w:styleId="TOC5">
    <w:name w:val="toc 5"/>
    <w:basedOn w:val="Normal"/>
    <w:next w:val="Normal"/>
    <w:autoRedefine/>
    <w:uiPriority w:val="39"/>
    <w:unhideWhenUsed/>
    <w:rsid w:val="00EA574C"/>
    <w:pPr>
      <w:ind w:left="720"/>
    </w:pPr>
    <w:rPr>
      <w:rFonts w:asciiTheme="minorHAnsi" w:hAnsiTheme="minorHAnsi" w:cstheme="minorHAnsi"/>
      <w:sz w:val="20"/>
    </w:rPr>
  </w:style>
  <w:style w:type="paragraph" w:styleId="TOC6">
    <w:name w:val="toc 6"/>
    <w:basedOn w:val="Normal"/>
    <w:next w:val="Normal"/>
    <w:autoRedefine/>
    <w:uiPriority w:val="39"/>
    <w:unhideWhenUsed/>
    <w:rsid w:val="00EA574C"/>
    <w:pPr>
      <w:ind w:left="900"/>
    </w:pPr>
    <w:rPr>
      <w:rFonts w:asciiTheme="minorHAnsi" w:hAnsiTheme="minorHAnsi" w:cstheme="minorHAnsi"/>
      <w:sz w:val="20"/>
    </w:rPr>
  </w:style>
  <w:style w:type="paragraph" w:styleId="TOC7">
    <w:name w:val="toc 7"/>
    <w:basedOn w:val="Normal"/>
    <w:next w:val="Normal"/>
    <w:autoRedefine/>
    <w:uiPriority w:val="39"/>
    <w:unhideWhenUsed/>
    <w:rsid w:val="00EA574C"/>
    <w:pPr>
      <w:ind w:left="1080"/>
    </w:pPr>
    <w:rPr>
      <w:rFonts w:asciiTheme="minorHAnsi" w:hAnsiTheme="minorHAnsi" w:cstheme="minorHAnsi"/>
      <w:sz w:val="20"/>
    </w:rPr>
  </w:style>
  <w:style w:type="paragraph" w:styleId="TOC8">
    <w:name w:val="toc 8"/>
    <w:basedOn w:val="Normal"/>
    <w:next w:val="Normal"/>
    <w:autoRedefine/>
    <w:uiPriority w:val="39"/>
    <w:unhideWhenUsed/>
    <w:rsid w:val="00EA574C"/>
    <w:pPr>
      <w:ind w:left="1260"/>
    </w:pPr>
    <w:rPr>
      <w:rFonts w:asciiTheme="minorHAnsi" w:hAnsiTheme="minorHAnsi" w:cstheme="minorHAnsi"/>
      <w:sz w:val="20"/>
    </w:rPr>
  </w:style>
  <w:style w:type="paragraph" w:styleId="TOC9">
    <w:name w:val="toc 9"/>
    <w:basedOn w:val="Normal"/>
    <w:next w:val="Normal"/>
    <w:autoRedefine/>
    <w:uiPriority w:val="39"/>
    <w:unhideWhenUsed/>
    <w:rsid w:val="00EA574C"/>
    <w:pPr>
      <w:ind w:left="1440"/>
    </w:pPr>
    <w:rPr>
      <w:rFonts w:asciiTheme="minorHAnsi" w:hAnsiTheme="minorHAnsi" w:cstheme="minorHAnsi"/>
      <w:sz w:val="20"/>
    </w:rPr>
  </w:style>
  <w:style w:type="character" w:customStyle="1" w:styleId="Heading3Char">
    <w:name w:val="Heading 3 Char"/>
    <w:basedOn w:val="DefaultParagraphFont"/>
    <w:link w:val="Heading3"/>
    <w:uiPriority w:val="9"/>
    <w:rsid w:val="00430374"/>
    <w:rPr>
      <w:rFonts w:asciiTheme="majorHAnsi" w:eastAsia="Times New Roman" w:hAnsiTheme="majorHAnsi" w:cs="Times New Roman"/>
      <w:bCs/>
      <w:i/>
      <w:color w:val="002060"/>
      <w:sz w:val="32"/>
      <w:szCs w:val="44"/>
    </w:rPr>
  </w:style>
  <w:style w:type="paragraph" w:customStyle="1" w:styleId="Bullet2">
    <w:name w:val="Bullet 2"/>
    <w:aliases w:val="b2"/>
    <w:basedOn w:val="Normal"/>
    <w:qFormat/>
    <w:rsid w:val="00D20D5C"/>
    <w:pPr>
      <w:tabs>
        <w:tab w:val="num" w:pos="1080"/>
      </w:tabs>
      <w:spacing w:before="120" w:after="120"/>
      <w:ind w:left="1800" w:hanging="360"/>
    </w:pPr>
    <w:rPr>
      <w:sz w:val="20"/>
    </w:rPr>
  </w:style>
  <w:style w:type="paragraph" w:styleId="CommentText">
    <w:name w:val="annotation text"/>
    <w:basedOn w:val="Normal"/>
    <w:link w:val="CommentTextChar"/>
    <w:semiHidden/>
    <w:unhideWhenUsed/>
    <w:rsid w:val="008964AC"/>
    <w:pPr>
      <w:spacing w:after="200"/>
    </w:pPr>
    <w:rPr>
      <w:rFonts w:eastAsia="Calibri" w:cs="Arial"/>
      <w:sz w:val="20"/>
    </w:rPr>
  </w:style>
  <w:style w:type="character" w:customStyle="1" w:styleId="CommentTextChar">
    <w:name w:val="Comment Text Char"/>
    <w:basedOn w:val="DefaultParagraphFont"/>
    <w:link w:val="CommentText"/>
    <w:semiHidden/>
    <w:rsid w:val="008964AC"/>
    <w:rPr>
      <w:rFonts w:ascii="Arial" w:eastAsia="Calibri" w:hAnsi="Arial" w:cs="Arial"/>
      <w:sz w:val="20"/>
      <w:szCs w:val="20"/>
    </w:rPr>
  </w:style>
  <w:style w:type="character" w:customStyle="1" w:styleId="ListParagraphChar">
    <w:name w:val="List Paragraph Char"/>
    <w:aliases w:val="Grey Bullet List Char,Grey Bullet Style Char"/>
    <w:basedOn w:val="DefaultParagraphFont"/>
    <w:link w:val="ListParagraph"/>
    <w:uiPriority w:val="34"/>
    <w:rsid w:val="00D376FC"/>
    <w:rPr>
      <w:rFonts w:ascii="Verdana" w:eastAsia="Times New Roman" w:hAnsi="Verdana" w:cs="Times New Roman"/>
      <w:sz w:val="18"/>
      <w:szCs w:val="20"/>
    </w:rPr>
  </w:style>
  <w:style w:type="character" w:customStyle="1" w:styleId="Heading4Char">
    <w:name w:val="Heading 4 Char"/>
    <w:basedOn w:val="DefaultParagraphFont"/>
    <w:link w:val="Heading4"/>
    <w:uiPriority w:val="9"/>
    <w:rsid w:val="00E22F4F"/>
    <w:rPr>
      <w:rFonts w:asciiTheme="majorHAnsi" w:eastAsia="Times New Roman" w:hAnsiTheme="majorHAnsi" w:cs="Times New Roman"/>
      <w:bCs/>
      <w:i/>
      <w:color w:val="66FF33"/>
      <w:sz w:val="40"/>
      <w:szCs w:val="40"/>
    </w:rPr>
  </w:style>
  <w:style w:type="paragraph" w:styleId="Title">
    <w:name w:val="Title"/>
    <w:basedOn w:val="Normal"/>
    <w:next w:val="Normal"/>
    <w:link w:val="TitleChar"/>
    <w:uiPriority w:val="10"/>
    <w:qFormat/>
    <w:rsid w:val="00271191"/>
    <w:pPr>
      <w:pageBreakBefore/>
      <w:spacing w:before="240" w:after="360"/>
    </w:pPr>
    <w:rPr>
      <w:rFonts w:asciiTheme="majorHAnsi" w:hAnsiTheme="majorHAnsi"/>
      <w:bCs/>
      <w:color w:val="002060"/>
      <w:sz w:val="52"/>
      <w:szCs w:val="52"/>
    </w:rPr>
  </w:style>
  <w:style w:type="character" w:customStyle="1" w:styleId="TitleChar">
    <w:name w:val="Title Char"/>
    <w:basedOn w:val="DefaultParagraphFont"/>
    <w:link w:val="Title"/>
    <w:uiPriority w:val="10"/>
    <w:rsid w:val="00271191"/>
    <w:rPr>
      <w:rFonts w:asciiTheme="majorHAnsi" w:eastAsia="Times New Roman" w:hAnsiTheme="majorHAnsi" w:cs="Times New Roman"/>
      <w:bCs/>
      <w:color w:val="002060"/>
      <w:sz w:val="52"/>
      <w:szCs w:val="52"/>
    </w:rPr>
  </w:style>
  <w:style w:type="paragraph" w:styleId="NormalWeb">
    <w:name w:val="Normal (Web)"/>
    <w:basedOn w:val="Normal"/>
    <w:link w:val="NormalWebChar"/>
    <w:uiPriority w:val="99"/>
    <w:unhideWhenUsed/>
    <w:rsid w:val="003E7CE7"/>
    <w:rPr>
      <w:rFonts w:ascii="Times New Roman" w:hAnsi="Times New Roman"/>
      <w:sz w:val="24"/>
      <w:szCs w:val="24"/>
      <w:lang w:eastAsia="en-ZA"/>
    </w:rPr>
  </w:style>
  <w:style w:type="character" w:customStyle="1" w:styleId="NormalWebChar">
    <w:name w:val="Normal (Web) Char"/>
    <w:basedOn w:val="DefaultParagraphFont"/>
    <w:link w:val="NormalWeb"/>
    <w:uiPriority w:val="99"/>
    <w:locked/>
    <w:rsid w:val="003E7CE7"/>
    <w:rPr>
      <w:rFonts w:ascii="Times New Roman" w:eastAsia="Times New Roman" w:hAnsi="Times New Roman" w:cs="Times New Roman"/>
      <w:sz w:val="24"/>
      <w:szCs w:val="24"/>
      <w:lang w:eastAsia="en-ZA"/>
    </w:rPr>
  </w:style>
  <w:style w:type="character" w:customStyle="1" w:styleId="Heading5Char">
    <w:name w:val="Heading 5 Char"/>
    <w:basedOn w:val="DefaultParagraphFont"/>
    <w:link w:val="Heading5"/>
    <w:uiPriority w:val="9"/>
    <w:rsid w:val="00C64A8A"/>
    <w:rPr>
      <w:rFonts w:asciiTheme="majorHAnsi" w:eastAsia="Times New Roman" w:hAnsiTheme="majorHAnsi" w:cs="Times New Roman"/>
      <w:bCs/>
      <w:color w:val="002060"/>
    </w:rPr>
  </w:style>
  <w:style w:type="paragraph" w:styleId="TOCHeading">
    <w:name w:val="TOC Heading"/>
    <w:basedOn w:val="Heading1"/>
    <w:next w:val="Normal"/>
    <w:uiPriority w:val="39"/>
    <w:unhideWhenUsed/>
    <w:qFormat/>
    <w:rsid w:val="00AC319C"/>
    <w:pPr>
      <w:spacing w:before="480" w:after="0" w:line="276" w:lineRule="auto"/>
      <w:outlineLvl w:val="9"/>
    </w:pPr>
    <w:rPr>
      <w:rFonts w:cstheme="majorBidi"/>
      <w:b/>
      <w:color w:val="365F91" w:themeColor="accent1" w:themeShade="BF"/>
      <w:sz w:val="28"/>
      <w:szCs w:val="28"/>
      <w:lang w:val="en-US" w:eastAsia="ja-JP"/>
    </w:rPr>
  </w:style>
  <w:style w:type="character" w:customStyle="1" w:styleId="Heading6Char">
    <w:name w:val="Heading 6 Char"/>
    <w:basedOn w:val="DefaultParagraphFont"/>
    <w:link w:val="Heading6"/>
    <w:uiPriority w:val="9"/>
    <w:rsid w:val="00DC747A"/>
    <w:rPr>
      <w:rFonts w:ascii="Verdana" w:eastAsia="Times New Roman" w:hAnsi="Verdana" w:cs="Times New Roman"/>
      <w:b/>
      <w:bCs/>
      <w:i/>
      <w:color w:val="404040" w:themeColor="text1" w:themeTint="BF"/>
    </w:rPr>
  </w:style>
  <w:style w:type="character" w:customStyle="1" w:styleId="Heading7Char">
    <w:name w:val="Heading 7 Char"/>
    <w:basedOn w:val="DefaultParagraphFont"/>
    <w:link w:val="Heading7"/>
    <w:uiPriority w:val="9"/>
    <w:rsid w:val="00EC19F7"/>
    <w:rPr>
      <w:rFonts w:ascii="Times New Roman" w:eastAsiaTheme="majorEastAsia" w:hAnsi="Times New Roman" w:cs="Times New Roman"/>
      <w:b/>
      <w:iCs/>
      <w:sz w:val="32"/>
      <w:szCs w:val="32"/>
    </w:rPr>
  </w:style>
  <w:style w:type="paragraph" w:styleId="CommentSubject">
    <w:name w:val="annotation subject"/>
    <w:basedOn w:val="CommentText"/>
    <w:next w:val="CommentText"/>
    <w:link w:val="CommentSubjectChar"/>
    <w:uiPriority w:val="99"/>
    <w:semiHidden/>
    <w:unhideWhenUsed/>
    <w:rsid w:val="009C53BF"/>
    <w:pPr>
      <w:spacing w:after="0"/>
    </w:pPr>
    <w:rPr>
      <w:rFonts w:ascii="Verdana" w:eastAsia="Times New Roman" w:hAnsi="Verdana" w:cs="Times New Roman"/>
      <w:b/>
      <w:bCs/>
    </w:rPr>
  </w:style>
  <w:style w:type="character" w:customStyle="1" w:styleId="CommentSubjectChar">
    <w:name w:val="Comment Subject Char"/>
    <w:basedOn w:val="CommentTextChar"/>
    <w:link w:val="CommentSubject"/>
    <w:uiPriority w:val="99"/>
    <w:semiHidden/>
    <w:rsid w:val="009C53BF"/>
    <w:rPr>
      <w:rFonts w:ascii="Verdana" w:eastAsia="Times New Roman" w:hAnsi="Verdana" w:cs="Times New Roman"/>
      <w:b/>
      <w:bCs/>
      <w:sz w:val="20"/>
      <w:szCs w:val="20"/>
    </w:rPr>
  </w:style>
  <w:style w:type="table" w:customStyle="1" w:styleId="TableGrid1">
    <w:name w:val="Table Grid1"/>
    <w:basedOn w:val="TableNormal"/>
    <w:next w:val="TableGrid"/>
    <w:rsid w:val="0070350E"/>
    <w:pPr>
      <w:spacing w:after="0" w:line="240" w:lineRule="auto"/>
      <w:ind w:left="1080"/>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B827D6"/>
    <w:rPr>
      <w:rFonts w:ascii="Consolas" w:hAnsi="Consolas" w:cs="Consolas"/>
      <w:sz w:val="21"/>
      <w:szCs w:val="21"/>
    </w:rPr>
  </w:style>
  <w:style w:type="character" w:customStyle="1" w:styleId="PlainTextChar">
    <w:name w:val="Plain Text Char"/>
    <w:basedOn w:val="DefaultParagraphFont"/>
    <w:link w:val="PlainText"/>
    <w:uiPriority w:val="99"/>
    <w:semiHidden/>
    <w:rsid w:val="00B827D6"/>
    <w:rPr>
      <w:rFonts w:ascii="Consolas" w:eastAsia="Times New Roman" w:hAnsi="Consolas" w:cs="Consolas"/>
      <w:sz w:val="21"/>
      <w:szCs w:val="21"/>
    </w:rPr>
  </w:style>
  <w:style w:type="character" w:styleId="Strong">
    <w:name w:val="Strong"/>
    <w:basedOn w:val="DefaultParagraphFont"/>
    <w:uiPriority w:val="22"/>
    <w:qFormat/>
    <w:rsid w:val="00582D50"/>
    <w:rPr>
      <w:b/>
      <w:bCs/>
    </w:rPr>
  </w:style>
  <w:style w:type="character" w:styleId="Emphasis">
    <w:name w:val="Emphasis"/>
    <w:basedOn w:val="DefaultParagraphFont"/>
    <w:uiPriority w:val="20"/>
    <w:qFormat/>
    <w:rsid w:val="00582D50"/>
    <w:rPr>
      <w:i/>
      <w:iCs/>
    </w:rPr>
  </w:style>
  <w:style w:type="character" w:styleId="HTMLAcronym">
    <w:name w:val="HTML Acronym"/>
    <w:basedOn w:val="DefaultParagraphFont"/>
    <w:uiPriority w:val="99"/>
    <w:semiHidden/>
    <w:unhideWhenUsed/>
    <w:rsid w:val="003F6268"/>
    <w:rPr>
      <w:color w:val="666666"/>
    </w:rPr>
  </w:style>
  <w:style w:type="character" w:customStyle="1" w:styleId="Bodytext10">
    <w:name w:val="Body text (10)_"/>
    <w:basedOn w:val="DefaultParagraphFont"/>
    <w:link w:val="Bodytext101"/>
    <w:uiPriority w:val="99"/>
    <w:rsid w:val="008C1450"/>
    <w:rPr>
      <w:rFonts w:ascii="Garamond" w:hAnsi="Garamond" w:cs="Garamond"/>
      <w:b/>
      <w:bCs/>
      <w:shd w:val="clear" w:color="auto" w:fill="FFFFFF"/>
    </w:rPr>
  </w:style>
  <w:style w:type="character" w:customStyle="1" w:styleId="Bodytext16">
    <w:name w:val="Body text (16)_"/>
    <w:basedOn w:val="DefaultParagraphFont"/>
    <w:link w:val="Bodytext160"/>
    <w:uiPriority w:val="99"/>
    <w:rsid w:val="008C1450"/>
    <w:rPr>
      <w:rFonts w:ascii="Angsana New" w:hAnsi="Angsana New" w:cs="Angsana New"/>
      <w:i/>
      <w:iCs/>
      <w:sz w:val="36"/>
      <w:szCs w:val="36"/>
      <w:shd w:val="clear" w:color="auto" w:fill="FFFFFF"/>
    </w:rPr>
  </w:style>
  <w:style w:type="paragraph" w:customStyle="1" w:styleId="Bodytext101">
    <w:name w:val="Body text (10)1"/>
    <w:basedOn w:val="Normal"/>
    <w:link w:val="Bodytext10"/>
    <w:uiPriority w:val="99"/>
    <w:rsid w:val="008C1450"/>
    <w:pPr>
      <w:shd w:val="clear" w:color="auto" w:fill="FFFFFF"/>
      <w:spacing w:after="1860" w:line="538" w:lineRule="exact"/>
      <w:ind w:hanging="740"/>
    </w:pPr>
    <w:rPr>
      <w:rFonts w:ascii="Garamond" w:eastAsiaTheme="minorHAnsi" w:hAnsi="Garamond" w:cs="Garamond"/>
      <w:b/>
      <w:bCs/>
      <w:szCs w:val="22"/>
    </w:rPr>
  </w:style>
  <w:style w:type="paragraph" w:customStyle="1" w:styleId="Bodytext160">
    <w:name w:val="Body text (16)"/>
    <w:basedOn w:val="Normal"/>
    <w:link w:val="Bodytext16"/>
    <w:uiPriority w:val="99"/>
    <w:rsid w:val="008C1450"/>
    <w:pPr>
      <w:shd w:val="clear" w:color="auto" w:fill="FFFFFF"/>
      <w:spacing w:line="274" w:lineRule="exact"/>
    </w:pPr>
    <w:rPr>
      <w:rFonts w:ascii="Angsana New" w:eastAsiaTheme="minorHAnsi" w:hAnsi="Angsana New" w:cs="Angsana New"/>
      <w:i/>
      <w:iCs/>
      <w:sz w:val="36"/>
      <w:szCs w:val="36"/>
    </w:rPr>
  </w:style>
  <w:style w:type="paragraph" w:styleId="FootnoteText">
    <w:name w:val="footnote text"/>
    <w:basedOn w:val="Normal"/>
    <w:link w:val="FootnoteTextChar"/>
    <w:semiHidden/>
    <w:unhideWhenUsed/>
    <w:rsid w:val="000541EE"/>
    <w:rPr>
      <w:sz w:val="20"/>
    </w:rPr>
  </w:style>
  <w:style w:type="character" w:customStyle="1" w:styleId="FootnoteTextChar">
    <w:name w:val="Footnote Text Char"/>
    <w:basedOn w:val="DefaultParagraphFont"/>
    <w:link w:val="FootnoteText"/>
    <w:rsid w:val="000541EE"/>
    <w:rPr>
      <w:rFonts w:ascii="Verdana" w:eastAsia="Times New Roman" w:hAnsi="Verdana" w:cs="Times New Roman"/>
      <w:sz w:val="20"/>
      <w:szCs w:val="20"/>
    </w:rPr>
  </w:style>
  <w:style w:type="character" w:styleId="FootnoteReference">
    <w:name w:val="footnote reference"/>
    <w:basedOn w:val="DefaultParagraphFont"/>
    <w:semiHidden/>
    <w:unhideWhenUsed/>
    <w:rsid w:val="000541EE"/>
    <w:rPr>
      <w:vertAlign w:val="superscript"/>
    </w:rPr>
  </w:style>
  <w:style w:type="paragraph" w:styleId="Revision">
    <w:name w:val="Revision"/>
    <w:hidden/>
    <w:uiPriority w:val="99"/>
    <w:semiHidden/>
    <w:rsid w:val="00CD3167"/>
    <w:pPr>
      <w:spacing w:after="0" w:line="240" w:lineRule="auto"/>
    </w:pPr>
    <w:rPr>
      <w:rFonts w:ascii="Verdana" w:eastAsia="Times New Roman" w:hAnsi="Verdana" w:cs="Times New Roman"/>
      <w:sz w:val="18"/>
      <w:szCs w:val="20"/>
    </w:rPr>
  </w:style>
  <w:style w:type="paragraph" w:styleId="ListBullet">
    <w:name w:val="List Bullet"/>
    <w:basedOn w:val="BodyText"/>
    <w:uiPriority w:val="99"/>
    <w:rsid w:val="00232A24"/>
    <w:pPr>
      <w:numPr>
        <w:numId w:val="3"/>
      </w:numPr>
      <w:spacing w:before="130" w:after="130"/>
    </w:pPr>
    <w:rPr>
      <w:rFonts w:ascii="Times New Roman" w:hAnsi="Times New Roman"/>
      <w:lang w:val="en-US"/>
    </w:rPr>
  </w:style>
  <w:style w:type="paragraph" w:styleId="Subtitle">
    <w:name w:val="Subtitle"/>
    <w:basedOn w:val="Heading5"/>
    <w:next w:val="Normal"/>
    <w:link w:val="SubtitleChar"/>
    <w:uiPriority w:val="11"/>
    <w:qFormat/>
    <w:rsid w:val="00087B82"/>
    <w:rPr>
      <w:i/>
      <w:sz w:val="32"/>
      <w:szCs w:val="52"/>
    </w:rPr>
  </w:style>
  <w:style w:type="character" w:customStyle="1" w:styleId="SubtitleChar">
    <w:name w:val="Subtitle Char"/>
    <w:basedOn w:val="DefaultParagraphFont"/>
    <w:link w:val="Subtitle"/>
    <w:uiPriority w:val="11"/>
    <w:rsid w:val="00087B82"/>
    <w:rPr>
      <w:rFonts w:asciiTheme="majorHAnsi" w:eastAsia="Times New Roman" w:hAnsiTheme="majorHAnsi" w:cs="Times New Roman"/>
      <w:bCs/>
      <w:i/>
      <w:color w:val="002060"/>
      <w:sz w:val="32"/>
      <w:szCs w:val="52"/>
    </w:rPr>
  </w:style>
  <w:style w:type="character" w:customStyle="1" w:styleId="Heading8Char">
    <w:name w:val="Heading 8 Char"/>
    <w:basedOn w:val="DefaultParagraphFont"/>
    <w:link w:val="Heading8"/>
    <w:uiPriority w:val="9"/>
    <w:semiHidden/>
    <w:rsid w:val="00547B17"/>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547B17"/>
    <w:pPr>
      <w:spacing w:after="120" w:line="480" w:lineRule="auto"/>
    </w:pPr>
  </w:style>
  <w:style w:type="character" w:customStyle="1" w:styleId="BodyText2Char">
    <w:name w:val="Body Text 2 Char"/>
    <w:basedOn w:val="DefaultParagraphFont"/>
    <w:link w:val="BodyText2"/>
    <w:uiPriority w:val="99"/>
    <w:semiHidden/>
    <w:rsid w:val="00547B17"/>
    <w:rPr>
      <w:rFonts w:ascii="Verdana" w:eastAsia="Times New Roman" w:hAnsi="Verdana" w:cs="Times New Roman"/>
      <w:sz w:val="18"/>
      <w:szCs w:val="20"/>
    </w:rPr>
  </w:style>
  <w:style w:type="paragraph" w:customStyle="1" w:styleId="zcontents">
    <w:name w:val="zcontents"/>
    <w:basedOn w:val="Normal"/>
    <w:semiHidden/>
    <w:rsid w:val="00547B17"/>
    <w:pPr>
      <w:spacing w:after="260"/>
    </w:pPr>
    <w:rPr>
      <w:rFonts w:ascii="Times New Roman" w:hAnsi="Times New Roman"/>
      <w:b/>
      <w:sz w:val="32"/>
      <w:lang w:val="en-US"/>
    </w:rPr>
  </w:style>
  <w:style w:type="character" w:styleId="FollowedHyperlink">
    <w:name w:val="FollowedHyperlink"/>
    <w:basedOn w:val="DefaultParagraphFont"/>
    <w:uiPriority w:val="99"/>
    <w:semiHidden/>
    <w:unhideWhenUsed/>
    <w:rsid w:val="00B856BD"/>
    <w:rPr>
      <w:color w:val="800080" w:themeColor="followedHyperlink"/>
      <w:u w:val="single"/>
    </w:rPr>
  </w:style>
  <w:style w:type="table" w:customStyle="1" w:styleId="GridTable5DarkAccent2">
    <w:name w:val="Grid Table 5 Dark Accent 2"/>
    <w:basedOn w:val="TableNormal"/>
    <w:uiPriority w:val="50"/>
    <w:rsid w:val="008D5CC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2">
    <w:name w:val="Grid Table 4 Accent 2"/>
    <w:basedOn w:val="TableNormal"/>
    <w:uiPriority w:val="49"/>
    <w:rsid w:val="008D5CC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BodyText3">
    <w:name w:val="Body Text 3"/>
    <w:basedOn w:val="Normal"/>
    <w:link w:val="BodyText3Char"/>
    <w:rsid w:val="00761EC3"/>
    <w:pPr>
      <w:spacing w:line="240" w:lineRule="auto"/>
      <w:jc w:val="left"/>
    </w:pPr>
    <w:rPr>
      <w:rFonts w:eastAsia="Batang" w:cs="Arial"/>
      <w:sz w:val="20"/>
      <w:szCs w:val="24"/>
      <w:lang w:val="en-CA" w:eastAsia="ko-KR"/>
    </w:rPr>
  </w:style>
  <w:style w:type="character" w:customStyle="1" w:styleId="BodyText3Char">
    <w:name w:val="Body Text 3 Char"/>
    <w:basedOn w:val="DefaultParagraphFont"/>
    <w:link w:val="BodyText3"/>
    <w:rsid w:val="00761EC3"/>
    <w:rPr>
      <w:rFonts w:ascii="Arial" w:eastAsia="Batang" w:hAnsi="Arial" w:cs="Arial"/>
      <w:sz w:val="20"/>
      <w:szCs w:val="24"/>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68728">
      <w:bodyDiv w:val="1"/>
      <w:marLeft w:val="0"/>
      <w:marRight w:val="0"/>
      <w:marTop w:val="0"/>
      <w:marBottom w:val="0"/>
      <w:divBdr>
        <w:top w:val="none" w:sz="0" w:space="0" w:color="auto"/>
        <w:left w:val="none" w:sz="0" w:space="0" w:color="auto"/>
        <w:bottom w:val="none" w:sz="0" w:space="0" w:color="auto"/>
        <w:right w:val="none" w:sz="0" w:space="0" w:color="auto"/>
      </w:divBdr>
    </w:div>
    <w:div w:id="95251614">
      <w:bodyDiv w:val="1"/>
      <w:marLeft w:val="0"/>
      <w:marRight w:val="0"/>
      <w:marTop w:val="0"/>
      <w:marBottom w:val="0"/>
      <w:divBdr>
        <w:top w:val="none" w:sz="0" w:space="0" w:color="auto"/>
        <w:left w:val="none" w:sz="0" w:space="0" w:color="auto"/>
        <w:bottom w:val="none" w:sz="0" w:space="0" w:color="auto"/>
        <w:right w:val="none" w:sz="0" w:space="0" w:color="auto"/>
      </w:divBdr>
      <w:divsChild>
        <w:div w:id="90666523">
          <w:marLeft w:val="0"/>
          <w:marRight w:val="0"/>
          <w:marTop w:val="0"/>
          <w:marBottom w:val="0"/>
          <w:divBdr>
            <w:top w:val="none" w:sz="0" w:space="0" w:color="auto"/>
            <w:left w:val="none" w:sz="0" w:space="0" w:color="auto"/>
            <w:bottom w:val="none" w:sz="0" w:space="0" w:color="auto"/>
            <w:right w:val="none" w:sz="0" w:space="0" w:color="auto"/>
          </w:divBdr>
          <w:divsChild>
            <w:div w:id="1313371187">
              <w:marLeft w:val="0"/>
              <w:marRight w:val="0"/>
              <w:marTop w:val="0"/>
              <w:marBottom w:val="0"/>
              <w:divBdr>
                <w:top w:val="none" w:sz="0" w:space="0" w:color="auto"/>
                <w:left w:val="none" w:sz="0" w:space="0" w:color="auto"/>
                <w:bottom w:val="none" w:sz="0" w:space="0" w:color="auto"/>
                <w:right w:val="none" w:sz="0" w:space="0" w:color="auto"/>
              </w:divBdr>
              <w:divsChild>
                <w:div w:id="1681394097">
                  <w:marLeft w:val="0"/>
                  <w:marRight w:val="0"/>
                  <w:marTop w:val="0"/>
                  <w:marBottom w:val="0"/>
                  <w:divBdr>
                    <w:top w:val="none" w:sz="0" w:space="0" w:color="auto"/>
                    <w:left w:val="none" w:sz="0" w:space="0" w:color="auto"/>
                    <w:bottom w:val="none" w:sz="0" w:space="0" w:color="auto"/>
                    <w:right w:val="none" w:sz="0" w:space="0" w:color="auto"/>
                  </w:divBdr>
                  <w:divsChild>
                    <w:div w:id="1699357140">
                      <w:marLeft w:val="0"/>
                      <w:marRight w:val="0"/>
                      <w:marTop w:val="0"/>
                      <w:marBottom w:val="0"/>
                      <w:divBdr>
                        <w:top w:val="none" w:sz="0" w:space="0" w:color="auto"/>
                        <w:left w:val="none" w:sz="0" w:space="0" w:color="auto"/>
                        <w:bottom w:val="none" w:sz="0" w:space="0" w:color="auto"/>
                        <w:right w:val="none" w:sz="0" w:space="0" w:color="auto"/>
                      </w:divBdr>
                      <w:divsChild>
                        <w:div w:id="888610440">
                          <w:marLeft w:val="0"/>
                          <w:marRight w:val="0"/>
                          <w:marTop w:val="0"/>
                          <w:marBottom w:val="0"/>
                          <w:divBdr>
                            <w:top w:val="none" w:sz="0" w:space="0" w:color="auto"/>
                            <w:left w:val="none" w:sz="0" w:space="0" w:color="auto"/>
                            <w:bottom w:val="none" w:sz="0" w:space="0" w:color="auto"/>
                            <w:right w:val="none" w:sz="0" w:space="0" w:color="auto"/>
                          </w:divBdr>
                          <w:divsChild>
                            <w:div w:id="8992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9792">
      <w:bodyDiv w:val="1"/>
      <w:marLeft w:val="0"/>
      <w:marRight w:val="0"/>
      <w:marTop w:val="0"/>
      <w:marBottom w:val="0"/>
      <w:divBdr>
        <w:top w:val="none" w:sz="0" w:space="0" w:color="auto"/>
        <w:left w:val="none" w:sz="0" w:space="0" w:color="auto"/>
        <w:bottom w:val="none" w:sz="0" w:space="0" w:color="auto"/>
        <w:right w:val="none" w:sz="0" w:space="0" w:color="auto"/>
      </w:divBdr>
    </w:div>
    <w:div w:id="149641459">
      <w:bodyDiv w:val="1"/>
      <w:marLeft w:val="0"/>
      <w:marRight w:val="0"/>
      <w:marTop w:val="0"/>
      <w:marBottom w:val="0"/>
      <w:divBdr>
        <w:top w:val="none" w:sz="0" w:space="0" w:color="auto"/>
        <w:left w:val="none" w:sz="0" w:space="0" w:color="auto"/>
        <w:bottom w:val="none" w:sz="0" w:space="0" w:color="auto"/>
        <w:right w:val="none" w:sz="0" w:space="0" w:color="auto"/>
      </w:divBdr>
      <w:divsChild>
        <w:div w:id="1583640194">
          <w:marLeft w:val="547"/>
          <w:marRight w:val="0"/>
          <w:marTop w:val="0"/>
          <w:marBottom w:val="0"/>
          <w:divBdr>
            <w:top w:val="none" w:sz="0" w:space="0" w:color="auto"/>
            <w:left w:val="none" w:sz="0" w:space="0" w:color="auto"/>
            <w:bottom w:val="none" w:sz="0" w:space="0" w:color="auto"/>
            <w:right w:val="none" w:sz="0" w:space="0" w:color="auto"/>
          </w:divBdr>
        </w:div>
      </w:divsChild>
    </w:div>
    <w:div w:id="163282064">
      <w:bodyDiv w:val="1"/>
      <w:marLeft w:val="0"/>
      <w:marRight w:val="0"/>
      <w:marTop w:val="0"/>
      <w:marBottom w:val="0"/>
      <w:divBdr>
        <w:top w:val="none" w:sz="0" w:space="0" w:color="auto"/>
        <w:left w:val="none" w:sz="0" w:space="0" w:color="auto"/>
        <w:bottom w:val="none" w:sz="0" w:space="0" w:color="auto"/>
        <w:right w:val="none" w:sz="0" w:space="0" w:color="auto"/>
      </w:divBdr>
      <w:divsChild>
        <w:div w:id="1013073438">
          <w:marLeft w:val="547"/>
          <w:marRight w:val="0"/>
          <w:marTop w:val="0"/>
          <w:marBottom w:val="0"/>
          <w:divBdr>
            <w:top w:val="none" w:sz="0" w:space="0" w:color="auto"/>
            <w:left w:val="none" w:sz="0" w:space="0" w:color="auto"/>
            <w:bottom w:val="none" w:sz="0" w:space="0" w:color="auto"/>
            <w:right w:val="none" w:sz="0" w:space="0" w:color="auto"/>
          </w:divBdr>
        </w:div>
      </w:divsChild>
    </w:div>
    <w:div w:id="231433040">
      <w:bodyDiv w:val="1"/>
      <w:marLeft w:val="0"/>
      <w:marRight w:val="0"/>
      <w:marTop w:val="0"/>
      <w:marBottom w:val="0"/>
      <w:divBdr>
        <w:top w:val="none" w:sz="0" w:space="0" w:color="auto"/>
        <w:left w:val="none" w:sz="0" w:space="0" w:color="auto"/>
        <w:bottom w:val="none" w:sz="0" w:space="0" w:color="auto"/>
        <w:right w:val="none" w:sz="0" w:space="0" w:color="auto"/>
      </w:divBdr>
    </w:div>
    <w:div w:id="296835980">
      <w:bodyDiv w:val="1"/>
      <w:marLeft w:val="0"/>
      <w:marRight w:val="0"/>
      <w:marTop w:val="0"/>
      <w:marBottom w:val="0"/>
      <w:divBdr>
        <w:top w:val="none" w:sz="0" w:space="0" w:color="auto"/>
        <w:left w:val="none" w:sz="0" w:space="0" w:color="auto"/>
        <w:bottom w:val="none" w:sz="0" w:space="0" w:color="auto"/>
        <w:right w:val="none" w:sz="0" w:space="0" w:color="auto"/>
      </w:divBdr>
    </w:div>
    <w:div w:id="371198710">
      <w:bodyDiv w:val="1"/>
      <w:marLeft w:val="0"/>
      <w:marRight w:val="0"/>
      <w:marTop w:val="0"/>
      <w:marBottom w:val="0"/>
      <w:divBdr>
        <w:top w:val="none" w:sz="0" w:space="0" w:color="auto"/>
        <w:left w:val="none" w:sz="0" w:space="0" w:color="auto"/>
        <w:bottom w:val="none" w:sz="0" w:space="0" w:color="auto"/>
        <w:right w:val="none" w:sz="0" w:space="0" w:color="auto"/>
      </w:divBdr>
    </w:div>
    <w:div w:id="446782021">
      <w:bodyDiv w:val="1"/>
      <w:marLeft w:val="0"/>
      <w:marRight w:val="0"/>
      <w:marTop w:val="0"/>
      <w:marBottom w:val="0"/>
      <w:divBdr>
        <w:top w:val="none" w:sz="0" w:space="0" w:color="auto"/>
        <w:left w:val="none" w:sz="0" w:space="0" w:color="auto"/>
        <w:bottom w:val="none" w:sz="0" w:space="0" w:color="auto"/>
        <w:right w:val="none" w:sz="0" w:space="0" w:color="auto"/>
      </w:divBdr>
    </w:div>
    <w:div w:id="521404781">
      <w:bodyDiv w:val="1"/>
      <w:marLeft w:val="0"/>
      <w:marRight w:val="0"/>
      <w:marTop w:val="0"/>
      <w:marBottom w:val="0"/>
      <w:divBdr>
        <w:top w:val="none" w:sz="0" w:space="0" w:color="auto"/>
        <w:left w:val="none" w:sz="0" w:space="0" w:color="auto"/>
        <w:bottom w:val="none" w:sz="0" w:space="0" w:color="auto"/>
        <w:right w:val="none" w:sz="0" w:space="0" w:color="auto"/>
      </w:divBdr>
    </w:div>
    <w:div w:id="527522703">
      <w:bodyDiv w:val="1"/>
      <w:marLeft w:val="0"/>
      <w:marRight w:val="0"/>
      <w:marTop w:val="0"/>
      <w:marBottom w:val="0"/>
      <w:divBdr>
        <w:top w:val="none" w:sz="0" w:space="0" w:color="auto"/>
        <w:left w:val="none" w:sz="0" w:space="0" w:color="auto"/>
        <w:bottom w:val="none" w:sz="0" w:space="0" w:color="auto"/>
        <w:right w:val="none" w:sz="0" w:space="0" w:color="auto"/>
      </w:divBdr>
    </w:div>
    <w:div w:id="533227905">
      <w:bodyDiv w:val="1"/>
      <w:marLeft w:val="0"/>
      <w:marRight w:val="0"/>
      <w:marTop w:val="0"/>
      <w:marBottom w:val="0"/>
      <w:divBdr>
        <w:top w:val="none" w:sz="0" w:space="0" w:color="auto"/>
        <w:left w:val="none" w:sz="0" w:space="0" w:color="auto"/>
        <w:bottom w:val="none" w:sz="0" w:space="0" w:color="auto"/>
        <w:right w:val="none" w:sz="0" w:space="0" w:color="auto"/>
      </w:divBdr>
    </w:div>
    <w:div w:id="541475867">
      <w:bodyDiv w:val="1"/>
      <w:marLeft w:val="0"/>
      <w:marRight w:val="0"/>
      <w:marTop w:val="0"/>
      <w:marBottom w:val="0"/>
      <w:divBdr>
        <w:top w:val="none" w:sz="0" w:space="0" w:color="auto"/>
        <w:left w:val="none" w:sz="0" w:space="0" w:color="auto"/>
        <w:bottom w:val="none" w:sz="0" w:space="0" w:color="auto"/>
        <w:right w:val="none" w:sz="0" w:space="0" w:color="auto"/>
      </w:divBdr>
      <w:divsChild>
        <w:div w:id="380907284">
          <w:marLeft w:val="0"/>
          <w:marRight w:val="0"/>
          <w:marTop w:val="0"/>
          <w:marBottom w:val="0"/>
          <w:divBdr>
            <w:top w:val="none" w:sz="0" w:space="0" w:color="auto"/>
            <w:left w:val="none" w:sz="0" w:space="0" w:color="auto"/>
            <w:bottom w:val="none" w:sz="0" w:space="0" w:color="auto"/>
            <w:right w:val="none" w:sz="0" w:space="0" w:color="auto"/>
          </w:divBdr>
          <w:divsChild>
            <w:div w:id="249042969">
              <w:marLeft w:val="0"/>
              <w:marRight w:val="0"/>
              <w:marTop w:val="0"/>
              <w:marBottom w:val="0"/>
              <w:divBdr>
                <w:top w:val="none" w:sz="0" w:space="0" w:color="auto"/>
                <w:left w:val="none" w:sz="0" w:space="0" w:color="auto"/>
                <w:bottom w:val="none" w:sz="0" w:space="0" w:color="auto"/>
                <w:right w:val="none" w:sz="0" w:space="0" w:color="auto"/>
              </w:divBdr>
              <w:divsChild>
                <w:div w:id="2033803928">
                  <w:marLeft w:val="0"/>
                  <w:marRight w:val="0"/>
                  <w:marTop w:val="0"/>
                  <w:marBottom w:val="0"/>
                  <w:divBdr>
                    <w:top w:val="none" w:sz="0" w:space="0" w:color="auto"/>
                    <w:left w:val="none" w:sz="0" w:space="0" w:color="auto"/>
                    <w:bottom w:val="none" w:sz="0" w:space="0" w:color="auto"/>
                    <w:right w:val="none" w:sz="0" w:space="0" w:color="auto"/>
                  </w:divBdr>
                  <w:divsChild>
                    <w:div w:id="1297681872">
                      <w:marLeft w:val="0"/>
                      <w:marRight w:val="0"/>
                      <w:marTop w:val="0"/>
                      <w:marBottom w:val="0"/>
                      <w:divBdr>
                        <w:top w:val="none" w:sz="0" w:space="0" w:color="auto"/>
                        <w:left w:val="none" w:sz="0" w:space="0" w:color="auto"/>
                        <w:bottom w:val="none" w:sz="0" w:space="0" w:color="auto"/>
                        <w:right w:val="none" w:sz="0" w:space="0" w:color="auto"/>
                      </w:divBdr>
                      <w:divsChild>
                        <w:div w:id="56900437">
                          <w:marLeft w:val="0"/>
                          <w:marRight w:val="0"/>
                          <w:marTop w:val="0"/>
                          <w:marBottom w:val="0"/>
                          <w:divBdr>
                            <w:top w:val="none" w:sz="0" w:space="0" w:color="auto"/>
                            <w:left w:val="none" w:sz="0" w:space="0" w:color="auto"/>
                            <w:bottom w:val="none" w:sz="0" w:space="0" w:color="auto"/>
                            <w:right w:val="none" w:sz="0" w:space="0" w:color="auto"/>
                          </w:divBdr>
                          <w:divsChild>
                            <w:div w:id="11650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783502">
      <w:bodyDiv w:val="1"/>
      <w:marLeft w:val="0"/>
      <w:marRight w:val="0"/>
      <w:marTop w:val="0"/>
      <w:marBottom w:val="0"/>
      <w:divBdr>
        <w:top w:val="none" w:sz="0" w:space="0" w:color="auto"/>
        <w:left w:val="none" w:sz="0" w:space="0" w:color="auto"/>
        <w:bottom w:val="none" w:sz="0" w:space="0" w:color="auto"/>
        <w:right w:val="none" w:sz="0" w:space="0" w:color="auto"/>
      </w:divBdr>
    </w:div>
    <w:div w:id="599681383">
      <w:bodyDiv w:val="1"/>
      <w:marLeft w:val="0"/>
      <w:marRight w:val="0"/>
      <w:marTop w:val="0"/>
      <w:marBottom w:val="0"/>
      <w:divBdr>
        <w:top w:val="none" w:sz="0" w:space="0" w:color="auto"/>
        <w:left w:val="none" w:sz="0" w:space="0" w:color="auto"/>
        <w:bottom w:val="none" w:sz="0" w:space="0" w:color="auto"/>
        <w:right w:val="none" w:sz="0" w:space="0" w:color="auto"/>
      </w:divBdr>
    </w:div>
    <w:div w:id="606235697">
      <w:bodyDiv w:val="1"/>
      <w:marLeft w:val="0"/>
      <w:marRight w:val="0"/>
      <w:marTop w:val="0"/>
      <w:marBottom w:val="0"/>
      <w:divBdr>
        <w:top w:val="none" w:sz="0" w:space="0" w:color="auto"/>
        <w:left w:val="none" w:sz="0" w:space="0" w:color="auto"/>
        <w:bottom w:val="none" w:sz="0" w:space="0" w:color="auto"/>
        <w:right w:val="none" w:sz="0" w:space="0" w:color="auto"/>
      </w:divBdr>
    </w:div>
    <w:div w:id="610404235">
      <w:bodyDiv w:val="1"/>
      <w:marLeft w:val="0"/>
      <w:marRight w:val="0"/>
      <w:marTop w:val="0"/>
      <w:marBottom w:val="0"/>
      <w:divBdr>
        <w:top w:val="none" w:sz="0" w:space="0" w:color="auto"/>
        <w:left w:val="none" w:sz="0" w:space="0" w:color="auto"/>
        <w:bottom w:val="none" w:sz="0" w:space="0" w:color="auto"/>
        <w:right w:val="none" w:sz="0" w:space="0" w:color="auto"/>
      </w:divBdr>
      <w:divsChild>
        <w:div w:id="484202125">
          <w:marLeft w:val="446"/>
          <w:marRight w:val="0"/>
          <w:marTop w:val="0"/>
          <w:marBottom w:val="0"/>
          <w:divBdr>
            <w:top w:val="none" w:sz="0" w:space="0" w:color="auto"/>
            <w:left w:val="none" w:sz="0" w:space="0" w:color="auto"/>
            <w:bottom w:val="none" w:sz="0" w:space="0" w:color="auto"/>
            <w:right w:val="none" w:sz="0" w:space="0" w:color="auto"/>
          </w:divBdr>
        </w:div>
        <w:div w:id="1052771498">
          <w:marLeft w:val="1166"/>
          <w:marRight w:val="0"/>
          <w:marTop w:val="0"/>
          <w:marBottom w:val="0"/>
          <w:divBdr>
            <w:top w:val="none" w:sz="0" w:space="0" w:color="auto"/>
            <w:left w:val="none" w:sz="0" w:space="0" w:color="auto"/>
            <w:bottom w:val="none" w:sz="0" w:space="0" w:color="auto"/>
            <w:right w:val="none" w:sz="0" w:space="0" w:color="auto"/>
          </w:divBdr>
        </w:div>
        <w:div w:id="1505785041">
          <w:marLeft w:val="446"/>
          <w:marRight w:val="0"/>
          <w:marTop w:val="0"/>
          <w:marBottom w:val="0"/>
          <w:divBdr>
            <w:top w:val="none" w:sz="0" w:space="0" w:color="auto"/>
            <w:left w:val="none" w:sz="0" w:space="0" w:color="auto"/>
            <w:bottom w:val="none" w:sz="0" w:space="0" w:color="auto"/>
            <w:right w:val="none" w:sz="0" w:space="0" w:color="auto"/>
          </w:divBdr>
        </w:div>
        <w:div w:id="1935243984">
          <w:marLeft w:val="446"/>
          <w:marRight w:val="0"/>
          <w:marTop w:val="0"/>
          <w:marBottom w:val="0"/>
          <w:divBdr>
            <w:top w:val="none" w:sz="0" w:space="0" w:color="auto"/>
            <w:left w:val="none" w:sz="0" w:space="0" w:color="auto"/>
            <w:bottom w:val="none" w:sz="0" w:space="0" w:color="auto"/>
            <w:right w:val="none" w:sz="0" w:space="0" w:color="auto"/>
          </w:divBdr>
        </w:div>
        <w:div w:id="1958877145">
          <w:marLeft w:val="1166"/>
          <w:marRight w:val="0"/>
          <w:marTop w:val="0"/>
          <w:marBottom w:val="0"/>
          <w:divBdr>
            <w:top w:val="none" w:sz="0" w:space="0" w:color="auto"/>
            <w:left w:val="none" w:sz="0" w:space="0" w:color="auto"/>
            <w:bottom w:val="none" w:sz="0" w:space="0" w:color="auto"/>
            <w:right w:val="none" w:sz="0" w:space="0" w:color="auto"/>
          </w:divBdr>
        </w:div>
        <w:div w:id="2046127476">
          <w:marLeft w:val="446"/>
          <w:marRight w:val="0"/>
          <w:marTop w:val="0"/>
          <w:marBottom w:val="0"/>
          <w:divBdr>
            <w:top w:val="none" w:sz="0" w:space="0" w:color="auto"/>
            <w:left w:val="none" w:sz="0" w:space="0" w:color="auto"/>
            <w:bottom w:val="none" w:sz="0" w:space="0" w:color="auto"/>
            <w:right w:val="none" w:sz="0" w:space="0" w:color="auto"/>
          </w:divBdr>
        </w:div>
      </w:divsChild>
    </w:div>
    <w:div w:id="615604084">
      <w:bodyDiv w:val="1"/>
      <w:marLeft w:val="0"/>
      <w:marRight w:val="0"/>
      <w:marTop w:val="0"/>
      <w:marBottom w:val="0"/>
      <w:divBdr>
        <w:top w:val="none" w:sz="0" w:space="0" w:color="auto"/>
        <w:left w:val="none" w:sz="0" w:space="0" w:color="auto"/>
        <w:bottom w:val="none" w:sz="0" w:space="0" w:color="auto"/>
        <w:right w:val="none" w:sz="0" w:space="0" w:color="auto"/>
      </w:divBdr>
      <w:divsChild>
        <w:div w:id="18629708">
          <w:marLeft w:val="0"/>
          <w:marRight w:val="0"/>
          <w:marTop w:val="0"/>
          <w:marBottom w:val="0"/>
          <w:divBdr>
            <w:top w:val="none" w:sz="0" w:space="0" w:color="auto"/>
            <w:left w:val="none" w:sz="0" w:space="0" w:color="auto"/>
            <w:bottom w:val="none" w:sz="0" w:space="0" w:color="auto"/>
            <w:right w:val="none" w:sz="0" w:space="0" w:color="auto"/>
          </w:divBdr>
          <w:divsChild>
            <w:div w:id="1465268178">
              <w:marLeft w:val="0"/>
              <w:marRight w:val="0"/>
              <w:marTop w:val="0"/>
              <w:marBottom w:val="0"/>
              <w:divBdr>
                <w:top w:val="none" w:sz="0" w:space="0" w:color="auto"/>
                <w:left w:val="none" w:sz="0" w:space="0" w:color="auto"/>
                <w:bottom w:val="none" w:sz="0" w:space="0" w:color="auto"/>
                <w:right w:val="none" w:sz="0" w:space="0" w:color="auto"/>
              </w:divBdr>
              <w:divsChild>
                <w:div w:id="300230574">
                  <w:marLeft w:val="0"/>
                  <w:marRight w:val="0"/>
                  <w:marTop w:val="0"/>
                  <w:marBottom w:val="0"/>
                  <w:divBdr>
                    <w:top w:val="none" w:sz="0" w:space="0" w:color="auto"/>
                    <w:left w:val="none" w:sz="0" w:space="0" w:color="auto"/>
                    <w:bottom w:val="none" w:sz="0" w:space="0" w:color="auto"/>
                    <w:right w:val="none" w:sz="0" w:space="0" w:color="auto"/>
                  </w:divBdr>
                  <w:divsChild>
                    <w:div w:id="1442338829">
                      <w:marLeft w:val="0"/>
                      <w:marRight w:val="0"/>
                      <w:marTop w:val="0"/>
                      <w:marBottom w:val="0"/>
                      <w:divBdr>
                        <w:top w:val="none" w:sz="0" w:space="0" w:color="auto"/>
                        <w:left w:val="none" w:sz="0" w:space="0" w:color="auto"/>
                        <w:bottom w:val="none" w:sz="0" w:space="0" w:color="auto"/>
                        <w:right w:val="none" w:sz="0" w:space="0" w:color="auto"/>
                      </w:divBdr>
                      <w:divsChild>
                        <w:div w:id="1625580283">
                          <w:marLeft w:val="0"/>
                          <w:marRight w:val="0"/>
                          <w:marTop w:val="0"/>
                          <w:marBottom w:val="0"/>
                          <w:divBdr>
                            <w:top w:val="none" w:sz="0" w:space="0" w:color="auto"/>
                            <w:left w:val="none" w:sz="0" w:space="0" w:color="auto"/>
                            <w:bottom w:val="none" w:sz="0" w:space="0" w:color="auto"/>
                            <w:right w:val="none" w:sz="0" w:space="0" w:color="auto"/>
                          </w:divBdr>
                          <w:divsChild>
                            <w:div w:id="1298491275">
                              <w:marLeft w:val="0"/>
                              <w:marRight w:val="0"/>
                              <w:marTop w:val="0"/>
                              <w:marBottom w:val="0"/>
                              <w:divBdr>
                                <w:top w:val="none" w:sz="0" w:space="0" w:color="auto"/>
                                <w:left w:val="none" w:sz="0" w:space="0" w:color="auto"/>
                                <w:bottom w:val="none" w:sz="0" w:space="0" w:color="auto"/>
                                <w:right w:val="none" w:sz="0" w:space="0" w:color="auto"/>
                              </w:divBdr>
                              <w:divsChild>
                                <w:div w:id="1658604972">
                                  <w:marLeft w:val="0"/>
                                  <w:marRight w:val="0"/>
                                  <w:marTop w:val="0"/>
                                  <w:marBottom w:val="0"/>
                                  <w:divBdr>
                                    <w:top w:val="none" w:sz="0" w:space="0" w:color="auto"/>
                                    <w:left w:val="none" w:sz="0" w:space="0" w:color="auto"/>
                                    <w:bottom w:val="none" w:sz="0" w:space="0" w:color="auto"/>
                                    <w:right w:val="none" w:sz="0" w:space="0" w:color="auto"/>
                                  </w:divBdr>
                                  <w:divsChild>
                                    <w:div w:id="1112356240">
                                      <w:marLeft w:val="0"/>
                                      <w:marRight w:val="0"/>
                                      <w:marTop w:val="0"/>
                                      <w:marBottom w:val="0"/>
                                      <w:divBdr>
                                        <w:top w:val="none" w:sz="0" w:space="0" w:color="auto"/>
                                        <w:left w:val="none" w:sz="0" w:space="0" w:color="auto"/>
                                        <w:bottom w:val="none" w:sz="0" w:space="0" w:color="auto"/>
                                        <w:right w:val="none" w:sz="0" w:space="0" w:color="auto"/>
                                      </w:divBdr>
                                      <w:divsChild>
                                        <w:div w:id="569194305">
                                          <w:marLeft w:val="0"/>
                                          <w:marRight w:val="0"/>
                                          <w:marTop w:val="0"/>
                                          <w:marBottom w:val="0"/>
                                          <w:divBdr>
                                            <w:top w:val="none" w:sz="0" w:space="0" w:color="auto"/>
                                            <w:left w:val="none" w:sz="0" w:space="0" w:color="auto"/>
                                            <w:bottom w:val="none" w:sz="0" w:space="0" w:color="auto"/>
                                            <w:right w:val="none" w:sz="0" w:space="0" w:color="auto"/>
                                          </w:divBdr>
                                          <w:divsChild>
                                            <w:div w:id="188569243">
                                              <w:marLeft w:val="0"/>
                                              <w:marRight w:val="0"/>
                                              <w:marTop w:val="0"/>
                                              <w:marBottom w:val="0"/>
                                              <w:divBdr>
                                                <w:top w:val="none" w:sz="0" w:space="0" w:color="auto"/>
                                                <w:left w:val="none" w:sz="0" w:space="0" w:color="auto"/>
                                                <w:bottom w:val="none" w:sz="0" w:space="0" w:color="auto"/>
                                                <w:right w:val="none" w:sz="0" w:space="0" w:color="auto"/>
                                              </w:divBdr>
                                              <w:divsChild>
                                                <w:div w:id="1051460351">
                                                  <w:marLeft w:val="0"/>
                                                  <w:marRight w:val="0"/>
                                                  <w:marTop w:val="0"/>
                                                  <w:marBottom w:val="0"/>
                                                  <w:divBdr>
                                                    <w:top w:val="none" w:sz="0" w:space="0" w:color="auto"/>
                                                    <w:left w:val="none" w:sz="0" w:space="0" w:color="auto"/>
                                                    <w:bottom w:val="none" w:sz="0" w:space="0" w:color="auto"/>
                                                    <w:right w:val="none" w:sz="0" w:space="0" w:color="auto"/>
                                                  </w:divBdr>
                                                  <w:divsChild>
                                                    <w:div w:id="254100046">
                                                      <w:marLeft w:val="0"/>
                                                      <w:marRight w:val="0"/>
                                                      <w:marTop w:val="0"/>
                                                      <w:marBottom w:val="0"/>
                                                      <w:divBdr>
                                                        <w:top w:val="none" w:sz="0" w:space="0" w:color="auto"/>
                                                        <w:left w:val="none" w:sz="0" w:space="0" w:color="auto"/>
                                                        <w:bottom w:val="none" w:sz="0" w:space="0" w:color="auto"/>
                                                        <w:right w:val="none" w:sz="0" w:space="0" w:color="auto"/>
                                                      </w:divBdr>
                                                      <w:divsChild>
                                                        <w:div w:id="1089961216">
                                                          <w:marLeft w:val="0"/>
                                                          <w:marRight w:val="0"/>
                                                          <w:marTop w:val="0"/>
                                                          <w:marBottom w:val="0"/>
                                                          <w:divBdr>
                                                            <w:top w:val="none" w:sz="0" w:space="0" w:color="auto"/>
                                                            <w:left w:val="none" w:sz="0" w:space="0" w:color="auto"/>
                                                            <w:bottom w:val="none" w:sz="0" w:space="0" w:color="auto"/>
                                                            <w:right w:val="none" w:sz="0" w:space="0" w:color="auto"/>
                                                          </w:divBdr>
                                                          <w:divsChild>
                                                            <w:div w:id="453713767">
                                                              <w:marLeft w:val="0"/>
                                                              <w:marRight w:val="0"/>
                                                              <w:marTop w:val="0"/>
                                                              <w:marBottom w:val="0"/>
                                                              <w:divBdr>
                                                                <w:top w:val="none" w:sz="0" w:space="0" w:color="auto"/>
                                                                <w:left w:val="none" w:sz="0" w:space="0" w:color="auto"/>
                                                                <w:bottom w:val="none" w:sz="0" w:space="0" w:color="auto"/>
                                                                <w:right w:val="none" w:sz="0" w:space="0" w:color="auto"/>
                                                              </w:divBdr>
                                                              <w:divsChild>
                                                                <w:div w:id="278099827">
                                                                  <w:marLeft w:val="0"/>
                                                                  <w:marRight w:val="0"/>
                                                                  <w:marTop w:val="0"/>
                                                                  <w:marBottom w:val="0"/>
                                                                  <w:divBdr>
                                                                    <w:top w:val="none" w:sz="0" w:space="0" w:color="auto"/>
                                                                    <w:left w:val="none" w:sz="0" w:space="0" w:color="auto"/>
                                                                    <w:bottom w:val="none" w:sz="0" w:space="0" w:color="auto"/>
                                                                    <w:right w:val="none" w:sz="0" w:space="0" w:color="auto"/>
                                                                  </w:divBdr>
                                                                  <w:divsChild>
                                                                    <w:div w:id="558518034">
                                                                      <w:marLeft w:val="0"/>
                                                                      <w:marRight w:val="0"/>
                                                                      <w:marTop w:val="0"/>
                                                                      <w:marBottom w:val="0"/>
                                                                      <w:divBdr>
                                                                        <w:top w:val="none" w:sz="0" w:space="0" w:color="auto"/>
                                                                        <w:left w:val="none" w:sz="0" w:space="0" w:color="auto"/>
                                                                        <w:bottom w:val="none" w:sz="0" w:space="0" w:color="auto"/>
                                                                        <w:right w:val="none" w:sz="0" w:space="0" w:color="auto"/>
                                                                      </w:divBdr>
                                                                      <w:divsChild>
                                                                        <w:div w:id="1283344619">
                                                                          <w:marLeft w:val="0"/>
                                                                          <w:marRight w:val="0"/>
                                                                          <w:marTop w:val="0"/>
                                                                          <w:marBottom w:val="0"/>
                                                                          <w:divBdr>
                                                                            <w:top w:val="none" w:sz="0" w:space="0" w:color="auto"/>
                                                                            <w:left w:val="none" w:sz="0" w:space="0" w:color="auto"/>
                                                                            <w:bottom w:val="none" w:sz="0" w:space="0" w:color="auto"/>
                                                                            <w:right w:val="none" w:sz="0" w:space="0" w:color="auto"/>
                                                                          </w:divBdr>
                                                                          <w:divsChild>
                                                                            <w:div w:id="1155294270">
                                                                              <w:marLeft w:val="0"/>
                                                                              <w:marRight w:val="0"/>
                                                                              <w:marTop w:val="0"/>
                                                                              <w:marBottom w:val="0"/>
                                                                              <w:divBdr>
                                                                                <w:top w:val="none" w:sz="0" w:space="0" w:color="auto"/>
                                                                                <w:left w:val="none" w:sz="0" w:space="0" w:color="auto"/>
                                                                                <w:bottom w:val="none" w:sz="0" w:space="0" w:color="auto"/>
                                                                                <w:right w:val="none" w:sz="0" w:space="0" w:color="auto"/>
                                                                              </w:divBdr>
                                                                              <w:divsChild>
                                                                                <w:div w:id="1512990299">
                                                                                  <w:marLeft w:val="0"/>
                                                                                  <w:marRight w:val="0"/>
                                                                                  <w:marTop w:val="0"/>
                                                                                  <w:marBottom w:val="0"/>
                                                                                  <w:divBdr>
                                                                                    <w:top w:val="none" w:sz="0" w:space="0" w:color="auto"/>
                                                                                    <w:left w:val="none" w:sz="0" w:space="0" w:color="auto"/>
                                                                                    <w:bottom w:val="none" w:sz="0" w:space="0" w:color="auto"/>
                                                                                    <w:right w:val="none" w:sz="0" w:space="0" w:color="auto"/>
                                                                                  </w:divBdr>
                                                                                  <w:divsChild>
                                                                                    <w:div w:id="2019844712">
                                                                                      <w:marLeft w:val="0"/>
                                                                                      <w:marRight w:val="0"/>
                                                                                      <w:marTop w:val="0"/>
                                                                                      <w:marBottom w:val="0"/>
                                                                                      <w:divBdr>
                                                                                        <w:top w:val="none" w:sz="0" w:space="0" w:color="auto"/>
                                                                                        <w:left w:val="none" w:sz="0" w:space="0" w:color="auto"/>
                                                                                        <w:bottom w:val="none" w:sz="0" w:space="0" w:color="auto"/>
                                                                                        <w:right w:val="none" w:sz="0" w:space="0" w:color="auto"/>
                                                                                      </w:divBdr>
                                                                                      <w:divsChild>
                                                                                        <w:div w:id="218178529">
                                                                                          <w:marLeft w:val="0"/>
                                                                                          <w:marRight w:val="0"/>
                                                                                          <w:marTop w:val="0"/>
                                                                                          <w:marBottom w:val="0"/>
                                                                                          <w:divBdr>
                                                                                            <w:top w:val="none" w:sz="0" w:space="0" w:color="auto"/>
                                                                                            <w:left w:val="none" w:sz="0" w:space="0" w:color="auto"/>
                                                                                            <w:bottom w:val="none" w:sz="0" w:space="0" w:color="auto"/>
                                                                                            <w:right w:val="none" w:sz="0" w:space="0" w:color="auto"/>
                                                                                          </w:divBdr>
                                                                                          <w:divsChild>
                                                                                            <w:div w:id="1318995466">
                                                                                              <w:marLeft w:val="0"/>
                                                                                              <w:marRight w:val="0"/>
                                                                                              <w:marTop w:val="0"/>
                                                                                              <w:marBottom w:val="0"/>
                                                                                              <w:divBdr>
                                                                                                <w:top w:val="none" w:sz="0" w:space="0" w:color="auto"/>
                                                                                                <w:left w:val="none" w:sz="0" w:space="0" w:color="auto"/>
                                                                                                <w:bottom w:val="none" w:sz="0" w:space="0" w:color="auto"/>
                                                                                                <w:right w:val="none" w:sz="0" w:space="0" w:color="auto"/>
                                                                                              </w:divBdr>
                                                                                              <w:divsChild>
                                                                                                <w:div w:id="2020694251">
                                                                                                  <w:marLeft w:val="0"/>
                                                                                                  <w:marRight w:val="0"/>
                                                                                                  <w:marTop w:val="0"/>
                                                                                                  <w:marBottom w:val="0"/>
                                                                                                  <w:divBdr>
                                                                                                    <w:top w:val="none" w:sz="0" w:space="0" w:color="auto"/>
                                                                                                    <w:left w:val="none" w:sz="0" w:space="0" w:color="auto"/>
                                                                                                    <w:bottom w:val="none" w:sz="0" w:space="0" w:color="auto"/>
                                                                                                    <w:right w:val="none" w:sz="0" w:space="0" w:color="auto"/>
                                                                                                  </w:divBdr>
                                                                                                  <w:divsChild>
                                                                                                    <w:div w:id="1342002071">
                                                                                                      <w:marLeft w:val="0"/>
                                                                                                      <w:marRight w:val="0"/>
                                                                                                      <w:marTop w:val="0"/>
                                                                                                      <w:marBottom w:val="0"/>
                                                                                                      <w:divBdr>
                                                                                                        <w:top w:val="none" w:sz="0" w:space="0" w:color="auto"/>
                                                                                                        <w:left w:val="none" w:sz="0" w:space="0" w:color="auto"/>
                                                                                                        <w:bottom w:val="none" w:sz="0" w:space="0" w:color="auto"/>
                                                                                                        <w:right w:val="none" w:sz="0" w:space="0" w:color="auto"/>
                                                                                                      </w:divBdr>
                                                                                                      <w:divsChild>
                                                                                                        <w:div w:id="1331568617">
                                                                                                          <w:marLeft w:val="0"/>
                                                                                                          <w:marRight w:val="0"/>
                                                                                                          <w:marTop w:val="0"/>
                                                                                                          <w:marBottom w:val="0"/>
                                                                                                          <w:divBdr>
                                                                                                            <w:top w:val="none" w:sz="0" w:space="0" w:color="auto"/>
                                                                                                            <w:left w:val="none" w:sz="0" w:space="0" w:color="auto"/>
                                                                                                            <w:bottom w:val="none" w:sz="0" w:space="0" w:color="auto"/>
                                                                                                            <w:right w:val="none" w:sz="0" w:space="0" w:color="auto"/>
                                                                                                          </w:divBdr>
                                                                                                          <w:divsChild>
                                                                                                            <w:div w:id="1278832556">
                                                                                                              <w:marLeft w:val="0"/>
                                                                                                              <w:marRight w:val="0"/>
                                                                                                              <w:marTop w:val="0"/>
                                                                                                              <w:marBottom w:val="0"/>
                                                                                                              <w:divBdr>
                                                                                                                <w:top w:val="none" w:sz="0" w:space="0" w:color="auto"/>
                                                                                                                <w:left w:val="none" w:sz="0" w:space="0" w:color="auto"/>
                                                                                                                <w:bottom w:val="none" w:sz="0" w:space="0" w:color="auto"/>
                                                                                                                <w:right w:val="none" w:sz="0" w:space="0" w:color="auto"/>
                                                                                                              </w:divBdr>
                                                                                                              <w:divsChild>
                                                                                                                <w:div w:id="1525824732">
                                                                                                                  <w:marLeft w:val="0"/>
                                                                                                                  <w:marRight w:val="0"/>
                                                                                                                  <w:marTop w:val="0"/>
                                                                                                                  <w:marBottom w:val="0"/>
                                                                                                                  <w:divBdr>
                                                                                                                    <w:top w:val="none" w:sz="0" w:space="0" w:color="auto"/>
                                                                                                                    <w:left w:val="none" w:sz="0" w:space="0" w:color="auto"/>
                                                                                                                    <w:bottom w:val="none" w:sz="0" w:space="0" w:color="auto"/>
                                                                                                                    <w:right w:val="none" w:sz="0" w:space="0" w:color="auto"/>
                                                                                                                  </w:divBdr>
                                                                                                                  <w:divsChild>
                                                                                                                    <w:div w:id="129327817">
                                                                                                                      <w:marLeft w:val="0"/>
                                                                                                                      <w:marRight w:val="0"/>
                                                                                                                      <w:marTop w:val="0"/>
                                                                                                                      <w:marBottom w:val="0"/>
                                                                                                                      <w:divBdr>
                                                                                                                        <w:top w:val="none" w:sz="0" w:space="0" w:color="auto"/>
                                                                                                                        <w:left w:val="none" w:sz="0" w:space="0" w:color="auto"/>
                                                                                                                        <w:bottom w:val="none" w:sz="0" w:space="0" w:color="auto"/>
                                                                                                                        <w:right w:val="none" w:sz="0" w:space="0" w:color="auto"/>
                                                                                                                      </w:divBdr>
                                                                                                                      <w:divsChild>
                                                                                                                        <w:div w:id="376123589">
                                                                                                                          <w:marLeft w:val="0"/>
                                                                                                                          <w:marRight w:val="0"/>
                                                                                                                          <w:marTop w:val="0"/>
                                                                                                                          <w:marBottom w:val="0"/>
                                                                                                                          <w:divBdr>
                                                                                                                            <w:top w:val="none" w:sz="0" w:space="0" w:color="auto"/>
                                                                                                                            <w:left w:val="none" w:sz="0" w:space="0" w:color="auto"/>
                                                                                                                            <w:bottom w:val="none" w:sz="0" w:space="0" w:color="auto"/>
                                                                                                                            <w:right w:val="none" w:sz="0" w:space="0" w:color="auto"/>
                                                                                                                          </w:divBdr>
                                                                                                                          <w:divsChild>
                                                                                                                            <w:div w:id="1517184304">
                                                                                                                              <w:marLeft w:val="0"/>
                                                                                                                              <w:marRight w:val="0"/>
                                                                                                                              <w:marTop w:val="0"/>
                                                                                                                              <w:marBottom w:val="0"/>
                                                                                                                              <w:divBdr>
                                                                                                                                <w:top w:val="none" w:sz="0" w:space="0" w:color="auto"/>
                                                                                                                                <w:left w:val="none" w:sz="0" w:space="0" w:color="auto"/>
                                                                                                                                <w:bottom w:val="none" w:sz="0" w:space="0" w:color="auto"/>
                                                                                                                                <w:right w:val="none" w:sz="0" w:space="0" w:color="auto"/>
                                                                                                                              </w:divBdr>
                                                                                                                              <w:divsChild>
                                                                                                                                <w:div w:id="2881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135537">
      <w:bodyDiv w:val="1"/>
      <w:marLeft w:val="0"/>
      <w:marRight w:val="0"/>
      <w:marTop w:val="0"/>
      <w:marBottom w:val="0"/>
      <w:divBdr>
        <w:top w:val="none" w:sz="0" w:space="0" w:color="auto"/>
        <w:left w:val="none" w:sz="0" w:space="0" w:color="auto"/>
        <w:bottom w:val="none" w:sz="0" w:space="0" w:color="auto"/>
        <w:right w:val="none" w:sz="0" w:space="0" w:color="auto"/>
      </w:divBdr>
    </w:div>
    <w:div w:id="663703770">
      <w:bodyDiv w:val="1"/>
      <w:marLeft w:val="0"/>
      <w:marRight w:val="0"/>
      <w:marTop w:val="0"/>
      <w:marBottom w:val="0"/>
      <w:divBdr>
        <w:top w:val="none" w:sz="0" w:space="0" w:color="auto"/>
        <w:left w:val="none" w:sz="0" w:space="0" w:color="auto"/>
        <w:bottom w:val="none" w:sz="0" w:space="0" w:color="auto"/>
        <w:right w:val="none" w:sz="0" w:space="0" w:color="auto"/>
      </w:divBdr>
      <w:divsChild>
        <w:div w:id="38938633">
          <w:marLeft w:val="1166"/>
          <w:marRight w:val="0"/>
          <w:marTop w:val="0"/>
          <w:marBottom w:val="0"/>
          <w:divBdr>
            <w:top w:val="none" w:sz="0" w:space="0" w:color="auto"/>
            <w:left w:val="none" w:sz="0" w:space="0" w:color="auto"/>
            <w:bottom w:val="none" w:sz="0" w:space="0" w:color="auto"/>
            <w:right w:val="none" w:sz="0" w:space="0" w:color="auto"/>
          </w:divBdr>
        </w:div>
        <w:div w:id="254291613">
          <w:marLeft w:val="1166"/>
          <w:marRight w:val="0"/>
          <w:marTop w:val="0"/>
          <w:marBottom w:val="0"/>
          <w:divBdr>
            <w:top w:val="none" w:sz="0" w:space="0" w:color="auto"/>
            <w:left w:val="none" w:sz="0" w:space="0" w:color="auto"/>
            <w:bottom w:val="none" w:sz="0" w:space="0" w:color="auto"/>
            <w:right w:val="none" w:sz="0" w:space="0" w:color="auto"/>
          </w:divBdr>
        </w:div>
        <w:div w:id="1418674962">
          <w:marLeft w:val="1166"/>
          <w:marRight w:val="0"/>
          <w:marTop w:val="0"/>
          <w:marBottom w:val="0"/>
          <w:divBdr>
            <w:top w:val="none" w:sz="0" w:space="0" w:color="auto"/>
            <w:left w:val="none" w:sz="0" w:space="0" w:color="auto"/>
            <w:bottom w:val="none" w:sz="0" w:space="0" w:color="auto"/>
            <w:right w:val="none" w:sz="0" w:space="0" w:color="auto"/>
          </w:divBdr>
        </w:div>
        <w:div w:id="1894386759">
          <w:marLeft w:val="547"/>
          <w:marRight w:val="0"/>
          <w:marTop w:val="0"/>
          <w:marBottom w:val="0"/>
          <w:divBdr>
            <w:top w:val="none" w:sz="0" w:space="0" w:color="auto"/>
            <w:left w:val="none" w:sz="0" w:space="0" w:color="auto"/>
            <w:bottom w:val="none" w:sz="0" w:space="0" w:color="auto"/>
            <w:right w:val="none" w:sz="0" w:space="0" w:color="auto"/>
          </w:divBdr>
        </w:div>
      </w:divsChild>
    </w:div>
    <w:div w:id="690105477">
      <w:bodyDiv w:val="1"/>
      <w:marLeft w:val="0"/>
      <w:marRight w:val="0"/>
      <w:marTop w:val="0"/>
      <w:marBottom w:val="0"/>
      <w:divBdr>
        <w:top w:val="none" w:sz="0" w:space="0" w:color="auto"/>
        <w:left w:val="none" w:sz="0" w:space="0" w:color="auto"/>
        <w:bottom w:val="none" w:sz="0" w:space="0" w:color="auto"/>
        <w:right w:val="none" w:sz="0" w:space="0" w:color="auto"/>
      </w:divBdr>
    </w:div>
    <w:div w:id="716706376">
      <w:bodyDiv w:val="1"/>
      <w:marLeft w:val="0"/>
      <w:marRight w:val="0"/>
      <w:marTop w:val="0"/>
      <w:marBottom w:val="0"/>
      <w:divBdr>
        <w:top w:val="none" w:sz="0" w:space="0" w:color="auto"/>
        <w:left w:val="none" w:sz="0" w:space="0" w:color="auto"/>
        <w:bottom w:val="none" w:sz="0" w:space="0" w:color="auto"/>
        <w:right w:val="none" w:sz="0" w:space="0" w:color="auto"/>
      </w:divBdr>
    </w:div>
    <w:div w:id="766930091">
      <w:bodyDiv w:val="1"/>
      <w:marLeft w:val="0"/>
      <w:marRight w:val="0"/>
      <w:marTop w:val="0"/>
      <w:marBottom w:val="0"/>
      <w:divBdr>
        <w:top w:val="none" w:sz="0" w:space="0" w:color="auto"/>
        <w:left w:val="none" w:sz="0" w:space="0" w:color="auto"/>
        <w:bottom w:val="none" w:sz="0" w:space="0" w:color="auto"/>
        <w:right w:val="none" w:sz="0" w:space="0" w:color="auto"/>
      </w:divBdr>
    </w:div>
    <w:div w:id="795367036">
      <w:bodyDiv w:val="1"/>
      <w:marLeft w:val="0"/>
      <w:marRight w:val="0"/>
      <w:marTop w:val="0"/>
      <w:marBottom w:val="0"/>
      <w:divBdr>
        <w:top w:val="none" w:sz="0" w:space="0" w:color="auto"/>
        <w:left w:val="none" w:sz="0" w:space="0" w:color="auto"/>
        <w:bottom w:val="none" w:sz="0" w:space="0" w:color="auto"/>
        <w:right w:val="none" w:sz="0" w:space="0" w:color="auto"/>
      </w:divBdr>
      <w:divsChild>
        <w:div w:id="1521775538">
          <w:marLeft w:val="547"/>
          <w:marRight w:val="0"/>
          <w:marTop w:val="0"/>
          <w:marBottom w:val="0"/>
          <w:divBdr>
            <w:top w:val="none" w:sz="0" w:space="0" w:color="auto"/>
            <w:left w:val="none" w:sz="0" w:space="0" w:color="auto"/>
            <w:bottom w:val="none" w:sz="0" w:space="0" w:color="auto"/>
            <w:right w:val="none" w:sz="0" w:space="0" w:color="auto"/>
          </w:divBdr>
        </w:div>
      </w:divsChild>
    </w:div>
    <w:div w:id="914821904">
      <w:bodyDiv w:val="1"/>
      <w:marLeft w:val="0"/>
      <w:marRight w:val="0"/>
      <w:marTop w:val="0"/>
      <w:marBottom w:val="0"/>
      <w:divBdr>
        <w:top w:val="none" w:sz="0" w:space="0" w:color="auto"/>
        <w:left w:val="none" w:sz="0" w:space="0" w:color="auto"/>
        <w:bottom w:val="none" w:sz="0" w:space="0" w:color="auto"/>
        <w:right w:val="none" w:sz="0" w:space="0" w:color="auto"/>
      </w:divBdr>
      <w:divsChild>
        <w:div w:id="424228015">
          <w:marLeft w:val="547"/>
          <w:marRight w:val="0"/>
          <w:marTop w:val="0"/>
          <w:marBottom w:val="0"/>
          <w:divBdr>
            <w:top w:val="none" w:sz="0" w:space="0" w:color="auto"/>
            <w:left w:val="none" w:sz="0" w:space="0" w:color="auto"/>
            <w:bottom w:val="none" w:sz="0" w:space="0" w:color="auto"/>
            <w:right w:val="none" w:sz="0" w:space="0" w:color="auto"/>
          </w:divBdr>
        </w:div>
      </w:divsChild>
    </w:div>
    <w:div w:id="998994904">
      <w:bodyDiv w:val="1"/>
      <w:marLeft w:val="0"/>
      <w:marRight w:val="0"/>
      <w:marTop w:val="0"/>
      <w:marBottom w:val="0"/>
      <w:divBdr>
        <w:top w:val="none" w:sz="0" w:space="0" w:color="auto"/>
        <w:left w:val="none" w:sz="0" w:space="0" w:color="auto"/>
        <w:bottom w:val="none" w:sz="0" w:space="0" w:color="auto"/>
        <w:right w:val="none" w:sz="0" w:space="0" w:color="auto"/>
      </w:divBdr>
      <w:divsChild>
        <w:div w:id="472790381">
          <w:marLeft w:val="547"/>
          <w:marRight w:val="0"/>
          <w:marTop w:val="0"/>
          <w:marBottom w:val="0"/>
          <w:divBdr>
            <w:top w:val="none" w:sz="0" w:space="0" w:color="auto"/>
            <w:left w:val="none" w:sz="0" w:space="0" w:color="auto"/>
            <w:bottom w:val="none" w:sz="0" w:space="0" w:color="auto"/>
            <w:right w:val="none" w:sz="0" w:space="0" w:color="auto"/>
          </w:divBdr>
        </w:div>
      </w:divsChild>
    </w:div>
    <w:div w:id="1000624958">
      <w:bodyDiv w:val="1"/>
      <w:marLeft w:val="0"/>
      <w:marRight w:val="0"/>
      <w:marTop w:val="0"/>
      <w:marBottom w:val="0"/>
      <w:divBdr>
        <w:top w:val="none" w:sz="0" w:space="0" w:color="auto"/>
        <w:left w:val="none" w:sz="0" w:space="0" w:color="auto"/>
        <w:bottom w:val="none" w:sz="0" w:space="0" w:color="auto"/>
        <w:right w:val="none" w:sz="0" w:space="0" w:color="auto"/>
      </w:divBdr>
    </w:div>
    <w:div w:id="1031105466">
      <w:bodyDiv w:val="1"/>
      <w:marLeft w:val="0"/>
      <w:marRight w:val="0"/>
      <w:marTop w:val="0"/>
      <w:marBottom w:val="0"/>
      <w:divBdr>
        <w:top w:val="none" w:sz="0" w:space="0" w:color="auto"/>
        <w:left w:val="none" w:sz="0" w:space="0" w:color="auto"/>
        <w:bottom w:val="none" w:sz="0" w:space="0" w:color="auto"/>
        <w:right w:val="none" w:sz="0" w:space="0" w:color="auto"/>
      </w:divBdr>
    </w:div>
    <w:div w:id="1066994198">
      <w:bodyDiv w:val="1"/>
      <w:marLeft w:val="0"/>
      <w:marRight w:val="0"/>
      <w:marTop w:val="0"/>
      <w:marBottom w:val="0"/>
      <w:divBdr>
        <w:top w:val="none" w:sz="0" w:space="0" w:color="auto"/>
        <w:left w:val="none" w:sz="0" w:space="0" w:color="auto"/>
        <w:bottom w:val="none" w:sz="0" w:space="0" w:color="auto"/>
        <w:right w:val="none" w:sz="0" w:space="0" w:color="auto"/>
      </w:divBdr>
      <w:divsChild>
        <w:div w:id="22099075">
          <w:marLeft w:val="144"/>
          <w:marRight w:val="0"/>
          <w:marTop w:val="0"/>
          <w:marBottom w:val="0"/>
          <w:divBdr>
            <w:top w:val="none" w:sz="0" w:space="0" w:color="auto"/>
            <w:left w:val="none" w:sz="0" w:space="0" w:color="auto"/>
            <w:bottom w:val="none" w:sz="0" w:space="0" w:color="auto"/>
            <w:right w:val="none" w:sz="0" w:space="0" w:color="auto"/>
          </w:divBdr>
        </w:div>
        <w:div w:id="172109181">
          <w:marLeft w:val="144"/>
          <w:marRight w:val="0"/>
          <w:marTop w:val="0"/>
          <w:marBottom w:val="0"/>
          <w:divBdr>
            <w:top w:val="none" w:sz="0" w:space="0" w:color="auto"/>
            <w:left w:val="none" w:sz="0" w:space="0" w:color="auto"/>
            <w:bottom w:val="none" w:sz="0" w:space="0" w:color="auto"/>
            <w:right w:val="none" w:sz="0" w:space="0" w:color="auto"/>
          </w:divBdr>
        </w:div>
        <w:div w:id="379594454">
          <w:marLeft w:val="274"/>
          <w:marRight w:val="0"/>
          <w:marTop w:val="0"/>
          <w:marBottom w:val="0"/>
          <w:divBdr>
            <w:top w:val="none" w:sz="0" w:space="0" w:color="auto"/>
            <w:left w:val="none" w:sz="0" w:space="0" w:color="auto"/>
            <w:bottom w:val="none" w:sz="0" w:space="0" w:color="auto"/>
            <w:right w:val="none" w:sz="0" w:space="0" w:color="auto"/>
          </w:divBdr>
        </w:div>
        <w:div w:id="535429122">
          <w:marLeft w:val="274"/>
          <w:marRight w:val="0"/>
          <w:marTop w:val="0"/>
          <w:marBottom w:val="0"/>
          <w:divBdr>
            <w:top w:val="none" w:sz="0" w:space="0" w:color="auto"/>
            <w:left w:val="none" w:sz="0" w:space="0" w:color="auto"/>
            <w:bottom w:val="none" w:sz="0" w:space="0" w:color="auto"/>
            <w:right w:val="none" w:sz="0" w:space="0" w:color="auto"/>
          </w:divBdr>
        </w:div>
        <w:div w:id="682896519">
          <w:marLeft w:val="274"/>
          <w:marRight w:val="0"/>
          <w:marTop w:val="0"/>
          <w:marBottom w:val="0"/>
          <w:divBdr>
            <w:top w:val="none" w:sz="0" w:space="0" w:color="auto"/>
            <w:left w:val="none" w:sz="0" w:space="0" w:color="auto"/>
            <w:bottom w:val="none" w:sz="0" w:space="0" w:color="auto"/>
            <w:right w:val="none" w:sz="0" w:space="0" w:color="auto"/>
          </w:divBdr>
        </w:div>
        <w:div w:id="969290307">
          <w:marLeft w:val="274"/>
          <w:marRight w:val="0"/>
          <w:marTop w:val="0"/>
          <w:marBottom w:val="0"/>
          <w:divBdr>
            <w:top w:val="none" w:sz="0" w:space="0" w:color="auto"/>
            <w:left w:val="none" w:sz="0" w:space="0" w:color="auto"/>
            <w:bottom w:val="none" w:sz="0" w:space="0" w:color="auto"/>
            <w:right w:val="none" w:sz="0" w:space="0" w:color="auto"/>
          </w:divBdr>
        </w:div>
        <w:div w:id="1261335069">
          <w:marLeft w:val="274"/>
          <w:marRight w:val="0"/>
          <w:marTop w:val="0"/>
          <w:marBottom w:val="0"/>
          <w:divBdr>
            <w:top w:val="none" w:sz="0" w:space="0" w:color="auto"/>
            <w:left w:val="none" w:sz="0" w:space="0" w:color="auto"/>
            <w:bottom w:val="none" w:sz="0" w:space="0" w:color="auto"/>
            <w:right w:val="none" w:sz="0" w:space="0" w:color="auto"/>
          </w:divBdr>
        </w:div>
        <w:div w:id="1261909202">
          <w:marLeft w:val="144"/>
          <w:marRight w:val="0"/>
          <w:marTop w:val="0"/>
          <w:marBottom w:val="0"/>
          <w:divBdr>
            <w:top w:val="none" w:sz="0" w:space="0" w:color="auto"/>
            <w:left w:val="none" w:sz="0" w:space="0" w:color="auto"/>
            <w:bottom w:val="none" w:sz="0" w:space="0" w:color="auto"/>
            <w:right w:val="none" w:sz="0" w:space="0" w:color="auto"/>
          </w:divBdr>
        </w:div>
        <w:div w:id="1540164403">
          <w:marLeft w:val="274"/>
          <w:marRight w:val="0"/>
          <w:marTop w:val="0"/>
          <w:marBottom w:val="0"/>
          <w:divBdr>
            <w:top w:val="none" w:sz="0" w:space="0" w:color="auto"/>
            <w:left w:val="none" w:sz="0" w:space="0" w:color="auto"/>
            <w:bottom w:val="none" w:sz="0" w:space="0" w:color="auto"/>
            <w:right w:val="none" w:sz="0" w:space="0" w:color="auto"/>
          </w:divBdr>
        </w:div>
        <w:div w:id="1569656535">
          <w:marLeft w:val="274"/>
          <w:marRight w:val="0"/>
          <w:marTop w:val="0"/>
          <w:marBottom w:val="0"/>
          <w:divBdr>
            <w:top w:val="none" w:sz="0" w:space="0" w:color="auto"/>
            <w:left w:val="none" w:sz="0" w:space="0" w:color="auto"/>
            <w:bottom w:val="none" w:sz="0" w:space="0" w:color="auto"/>
            <w:right w:val="none" w:sz="0" w:space="0" w:color="auto"/>
          </w:divBdr>
        </w:div>
      </w:divsChild>
    </w:div>
    <w:div w:id="1084449833">
      <w:bodyDiv w:val="1"/>
      <w:marLeft w:val="0"/>
      <w:marRight w:val="0"/>
      <w:marTop w:val="0"/>
      <w:marBottom w:val="0"/>
      <w:divBdr>
        <w:top w:val="none" w:sz="0" w:space="0" w:color="auto"/>
        <w:left w:val="none" w:sz="0" w:space="0" w:color="auto"/>
        <w:bottom w:val="none" w:sz="0" w:space="0" w:color="auto"/>
        <w:right w:val="none" w:sz="0" w:space="0" w:color="auto"/>
      </w:divBdr>
    </w:div>
    <w:div w:id="1093162672">
      <w:bodyDiv w:val="1"/>
      <w:marLeft w:val="0"/>
      <w:marRight w:val="0"/>
      <w:marTop w:val="0"/>
      <w:marBottom w:val="0"/>
      <w:divBdr>
        <w:top w:val="none" w:sz="0" w:space="0" w:color="auto"/>
        <w:left w:val="none" w:sz="0" w:space="0" w:color="auto"/>
        <w:bottom w:val="none" w:sz="0" w:space="0" w:color="auto"/>
        <w:right w:val="none" w:sz="0" w:space="0" w:color="auto"/>
      </w:divBdr>
    </w:div>
    <w:div w:id="1098016440">
      <w:bodyDiv w:val="1"/>
      <w:marLeft w:val="0"/>
      <w:marRight w:val="0"/>
      <w:marTop w:val="0"/>
      <w:marBottom w:val="0"/>
      <w:divBdr>
        <w:top w:val="none" w:sz="0" w:space="0" w:color="auto"/>
        <w:left w:val="none" w:sz="0" w:space="0" w:color="auto"/>
        <w:bottom w:val="none" w:sz="0" w:space="0" w:color="auto"/>
        <w:right w:val="none" w:sz="0" w:space="0" w:color="auto"/>
      </w:divBdr>
      <w:divsChild>
        <w:div w:id="200678625">
          <w:marLeft w:val="1166"/>
          <w:marRight w:val="0"/>
          <w:marTop w:val="0"/>
          <w:marBottom w:val="0"/>
          <w:divBdr>
            <w:top w:val="none" w:sz="0" w:space="0" w:color="auto"/>
            <w:left w:val="none" w:sz="0" w:space="0" w:color="auto"/>
            <w:bottom w:val="none" w:sz="0" w:space="0" w:color="auto"/>
            <w:right w:val="none" w:sz="0" w:space="0" w:color="auto"/>
          </w:divBdr>
        </w:div>
        <w:div w:id="249848499">
          <w:marLeft w:val="1166"/>
          <w:marRight w:val="0"/>
          <w:marTop w:val="0"/>
          <w:marBottom w:val="0"/>
          <w:divBdr>
            <w:top w:val="none" w:sz="0" w:space="0" w:color="auto"/>
            <w:left w:val="none" w:sz="0" w:space="0" w:color="auto"/>
            <w:bottom w:val="none" w:sz="0" w:space="0" w:color="auto"/>
            <w:right w:val="none" w:sz="0" w:space="0" w:color="auto"/>
          </w:divBdr>
        </w:div>
        <w:div w:id="314340379">
          <w:marLeft w:val="547"/>
          <w:marRight w:val="0"/>
          <w:marTop w:val="0"/>
          <w:marBottom w:val="0"/>
          <w:divBdr>
            <w:top w:val="none" w:sz="0" w:space="0" w:color="auto"/>
            <w:left w:val="none" w:sz="0" w:space="0" w:color="auto"/>
            <w:bottom w:val="none" w:sz="0" w:space="0" w:color="auto"/>
            <w:right w:val="none" w:sz="0" w:space="0" w:color="auto"/>
          </w:divBdr>
        </w:div>
        <w:div w:id="1353847855">
          <w:marLeft w:val="1166"/>
          <w:marRight w:val="0"/>
          <w:marTop w:val="0"/>
          <w:marBottom w:val="0"/>
          <w:divBdr>
            <w:top w:val="none" w:sz="0" w:space="0" w:color="auto"/>
            <w:left w:val="none" w:sz="0" w:space="0" w:color="auto"/>
            <w:bottom w:val="none" w:sz="0" w:space="0" w:color="auto"/>
            <w:right w:val="none" w:sz="0" w:space="0" w:color="auto"/>
          </w:divBdr>
        </w:div>
        <w:div w:id="1774282891">
          <w:marLeft w:val="547"/>
          <w:marRight w:val="0"/>
          <w:marTop w:val="0"/>
          <w:marBottom w:val="0"/>
          <w:divBdr>
            <w:top w:val="none" w:sz="0" w:space="0" w:color="auto"/>
            <w:left w:val="none" w:sz="0" w:space="0" w:color="auto"/>
            <w:bottom w:val="none" w:sz="0" w:space="0" w:color="auto"/>
            <w:right w:val="none" w:sz="0" w:space="0" w:color="auto"/>
          </w:divBdr>
        </w:div>
        <w:div w:id="1825775544">
          <w:marLeft w:val="1166"/>
          <w:marRight w:val="0"/>
          <w:marTop w:val="0"/>
          <w:marBottom w:val="0"/>
          <w:divBdr>
            <w:top w:val="none" w:sz="0" w:space="0" w:color="auto"/>
            <w:left w:val="none" w:sz="0" w:space="0" w:color="auto"/>
            <w:bottom w:val="none" w:sz="0" w:space="0" w:color="auto"/>
            <w:right w:val="none" w:sz="0" w:space="0" w:color="auto"/>
          </w:divBdr>
        </w:div>
        <w:div w:id="1846245029">
          <w:marLeft w:val="547"/>
          <w:marRight w:val="0"/>
          <w:marTop w:val="0"/>
          <w:marBottom w:val="0"/>
          <w:divBdr>
            <w:top w:val="none" w:sz="0" w:space="0" w:color="auto"/>
            <w:left w:val="none" w:sz="0" w:space="0" w:color="auto"/>
            <w:bottom w:val="none" w:sz="0" w:space="0" w:color="auto"/>
            <w:right w:val="none" w:sz="0" w:space="0" w:color="auto"/>
          </w:divBdr>
        </w:div>
        <w:div w:id="1940485242">
          <w:marLeft w:val="1166"/>
          <w:marRight w:val="0"/>
          <w:marTop w:val="0"/>
          <w:marBottom w:val="0"/>
          <w:divBdr>
            <w:top w:val="none" w:sz="0" w:space="0" w:color="auto"/>
            <w:left w:val="none" w:sz="0" w:space="0" w:color="auto"/>
            <w:bottom w:val="none" w:sz="0" w:space="0" w:color="auto"/>
            <w:right w:val="none" w:sz="0" w:space="0" w:color="auto"/>
          </w:divBdr>
        </w:div>
        <w:div w:id="2109037772">
          <w:marLeft w:val="1166"/>
          <w:marRight w:val="0"/>
          <w:marTop w:val="0"/>
          <w:marBottom w:val="0"/>
          <w:divBdr>
            <w:top w:val="none" w:sz="0" w:space="0" w:color="auto"/>
            <w:left w:val="none" w:sz="0" w:space="0" w:color="auto"/>
            <w:bottom w:val="none" w:sz="0" w:space="0" w:color="auto"/>
            <w:right w:val="none" w:sz="0" w:space="0" w:color="auto"/>
          </w:divBdr>
        </w:div>
      </w:divsChild>
    </w:div>
    <w:div w:id="1111513883">
      <w:bodyDiv w:val="1"/>
      <w:marLeft w:val="0"/>
      <w:marRight w:val="0"/>
      <w:marTop w:val="0"/>
      <w:marBottom w:val="0"/>
      <w:divBdr>
        <w:top w:val="none" w:sz="0" w:space="0" w:color="auto"/>
        <w:left w:val="none" w:sz="0" w:space="0" w:color="auto"/>
        <w:bottom w:val="none" w:sz="0" w:space="0" w:color="auto"/>
        <w:right w:val="none" w:sz="0" w:space="0" w:color="auto"/>
      </w:divBdr>
    </w:div>
    <w:div w:id="1174613007">
      <w:bodyDiv w:val="1"/>
      <w:marLeft w:val="0"/>
      <w:marRight w:val="0"/>
      <w:marTop w:val="0"/>
      <w:marBottom w:val="0"/>
      <w:divBdr>
        <w:top w:val="none" w:sz="0" w:space="0" w:color="auto"/>
        <w:left w:val="none" w:sz="0" w:space="0" w:color="auto"/>
        <w:bottom w:val="none" w:sz="0" w:space="0" w:color="auto"/>
        <w:right w:val="none" w:sz="0" w:space="0" w:color="auto"/>
      </w:divBdr>
    </w:div>
    <w:div w:id="1283460782">
      <w:bodyDiv w:val="1"/>
      <w:marLeft w:val="0"/>
      <w:marRight w:val="0"/>
      <w:marTop w:val="0"/>
      <w:marBottom w:val="0"/>
      <w:divBdr>
        <w:top w:val="none" w:sz="0" w:space="0" w:color="auto"/>
        <w:left w:val="none" w:sz="0" w:space="0" w:color="auto"/>
        <w:bottom w:val="none" w:sz="0" w:space="0" w:color="auto"/>
        <w:right w:val="none" w:sz="0" w:space="0" w:color="auto"/>
      </w:divBdr>
      <w:divsChild>
        <w:div w:id="278532770">
          <w:marLeft w:val="0"/>
          <w:marRight w:val="0"/>
          <w:marTop w:val="0"/>
          <w:marBottom w:val="0"/>
          <w:divBdr>
            <w:top w:val="none" w:sz="0" w:space="0" w:color="auto"/>
            <w:left w:val="none" w:sz="0" w:space="0" w:color="auto"/>
            <w:bottom w:val="none" w:sz="0" w:space="0" w:color="auto"/>
            <w:right w:val="none" w:sz="0" w:space="0" w:color="auto"/>
          </w:divBdr>
          <w:divsChild>
            <w:div w:id="1592812585">
              <w:marLeft w:val="0"/>
              <w:marRight w:val="0"/>
              <w:marTop w:val="0"/>
              <w:marBottom w:val="0"/>
              <w:divBdr>
                <w:top w:val="none" w:sz="0" w:space="0" w:color="auto"/>
                <w:left w:val="none" w:sz="0" w:space="0" w:color="auto"/>
                <w:bottom w:val="none" w:sz="0" w:space="0" w:color="auto"/>
                <w:right w:val="none" w:sz="0" w:space="0" w:color="auto"/>
              </w:divBdr>
              <w:divsChild>
                <w:div w:id="101823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80267">
      <w:bodyDiv w:val="1"/>
      <w:marLeft w:val="0"/>
      <w:marRight w:val="0"/>
      <w:marTop w:val="0"/>
      <w:marBottom w:val="0"/>
      <w:divBdr>
        <w:top w:val="none" w:sz="0" w:space="0" w:color="auto"/>
        <w:left w:val="none" w:sz="0" w:space="0" w:color="auto"/>
        <w:bottom w:val="none" w:sz="0" w:space="0" w:color="auto"/>
        <w:right w:val="none" w:sz="0" w:space="0" w:color="auto"/>
      </w:divBdr>
      <w:divsChild>
        <w:div w:id="2107268822">
          <w:marLeft w:val="0"/>
          <w:marRight w:val="0"/>
          <w:marTop w:val="0"/>
          <w:marBottom w:val="0"/>
          <w:divBdr>
            <w:top w:val="none" w:sz="0" w:space="0" w:color="auto"/>
            <w:left w:val="none" w:sz="0" w:space="0" w:color="auto"/>
            <w:bottom w:val="none" w:sz="0" w:space="0" w:color="auto"/>
            <w:right w:val="none" w:sz="0" w:space="0" w:color="auto"/>
          </w:divBdr>
          <w:divsChild>
            <w:div w:id="1854760387">
              <w:marLeft w:val="0"/>
              <w:marRight w:val="0"/>
              <w:marTop w:val="0"/>
              <w:marBottom w:val="0"/>
              <w:divBdr>
                <w:top w:val="none" w:sz="0" w:space="0" w:color="auto"/>
                <w:left w:val="none" w:sz="0" w:space="0" w:color="auto"/>
                <w:bottom w:val="none" w:sz="0" w:space="0" w:color="auto"/>
                <w:right w:val="none" w:sz="0" w:space="0" w:color="auto"/>
              </w:divBdr>
              <w:divsChild>
                <w:div w:id="493254721">
                  <w:marLeft w:val="0"/>
                  <w:marRight w:val="0"/>
                  <w:marTop w:val="0"/>
                  <w:marBottom w:val="0"/>
                  <w:divBdr>
                    <w:top w:val="none" w:sz="0" w:space="0" w:color="auto"/>
                    <w:left w:val="none" w:sz="0" w:space="0" w:color="auto"/>
                    <w:bottom w:val="none" w:sz="0" w:space="0" w:color="auto"/>
                    <w:right w:val="none" w:sz="0" w:space="0" w:color="auto"/>
                  </w:divBdr>
                  <w:divsChild>
                    <w:div w:id="45567376">
                      <w:marLeft w:val="0"/>
                      <w:marRight w:val="0"/>
                      <w:marTop w:val="0"/>
                      <w:marBottom w:val="0"/>
                      <w:divBdr>
                        <w:top w:val="none" w:sz="0" w:space="0" w:color="auto"/>
                        <w:left w:val="none" w:sz="0" w:space="0" w:color="auto"/>
                        <w:bottom w:val="none" w:sz="0" w:space="0" w:color="auto"/>
                        <w:right w:val="none" w:sz="0" w:space="0" w:color="auto"/>
                      </w:divBdr>
                      <w:divsChild>
                        <w:div w:id="1461537737">
                          <w:marLeft w:val="0"/>
                          <w:marRight w:val="0"/>
                          <w:marTop w:val="0"/>
                          <w:marBottom w:val="0"/>
                          <w:divBdr>
                            <w:top w:val="none" w:sz="0" w:space="0" w:color="auto"/>
                            <w:left w:val="none" w:sz="0" w:space="0" w:color="auto"/>
                            <w:bottom w:val="none" w:sz="0" w:space="0" w:color="auto"/>
                            <w:right w:val="none" w:sz="0" w:space="0" w:color="auto"/>
                          </w:divBdr>
                          <w:divsChild>
                            <w:div w:id="1054277641">
                              <w:marLeft w:val="0"/>
                              <w:marRight w:val="0"/>
                              <w:marTop w:val="0"/>
                              <w:marBottom w:val="0"/>
                              <w:divBdr>
                                <w:top w:val="none" w:sz="0" w:space="0" w:color="auto"/>
                                <w:left w:val="none" w:sz="0" w:space="0" w:color="auto"/>
                                <w:bottom w:val="none" w:sz="0" w:space="0" w:color="auto"/>
                                <w:right w:val="none" w:sz="0" w:space="0" w:color="auto"/>
                              </w:divBdr>
                              <w:divsChild>
                                <w:div w:id="10153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148119">
      <w:bodyDiv w:val="1"/>
      <w:marLeft w:val="0"/>
      <w:marRight w:val="0"/>
      <w:marTop w:val="0"/>
      <w:marBottom w:val="0"/>
      <w:divBdr>
        <w:top w:val="none" w:sz="0" w:space="0" w:color="auto"/>
        <w:left w:val="none" w:sz="0" w:space="0" w:color="auto"/>
        <w:bottom w:val="none" w:sz="0" w:space="0" w:color="auto"/>
        <w:right w:val="none" w:sz="0" w:space="0" w:color="auto"/>
      </w:divBdr>
      <w:divsChild>
        <w:div w:id="497037194">
          <w:marLeft w:val="547"/>
          <w:marRight w:val="0"/>
          <w:marTop w:val="0"/>
          <w:marBottom w:val="0"/>
          <w:divBdr>
            <w:top w:val="none" w:sz="0" w:space="0" w:color="auto"/>
            <w:left w:val="none" w:sz="0" w:space="0" w:color="auto"/>
            <w:bottom w:val="none" w:sz="0" w:space="0" w:color="auto"/>
            <w:right w:val="none" w:sz="0" w:space="0" w:color="auto"/>
          </w:divBdr>
        </w:div>
        <w:div w:id="1870023360">
          <w:marLeft w:val="547"/>
          <w:marRight w:val="0"/>
          <w:marTop w:val="0"/>
          <w:marBottom w:val="0"/>
          <w:divBdr>
            <w:top w:val="none" w:sz="0" w:space="0" w:color="auto"/>
            <w:left w:val="none" w:sz="0" w:space="0" w:color="auto"/>
            <w:bottom w:val="none" w:sz="0" w:space="0" w:color="auto"/>
            <w:right w:val="none" w:sz="0" w:space="0" w:color="auto"/>
          </w:divBdr>
        </w:div>
      </w:divsChild>
    </w:div>
    <w:div w:id="1360353908">
      <w:bodyDiv w:val="1"/>
      <w:marLeft w:val="0"/>
      <w:marRight w:val="0"/>
      <w:marTop w:val="0"/>
      <w:marBottom w:val="0"/>
      <w:divBdr>
        <w:top w:val="none" w:sz="0" w:space="0" w:color="auto"/>
        <w:left w:val="none" w:sz="0" w:space="0" w:color="auto"/>
        <w:bottom w:val="none" w:sz="0" w:space="0" w:color="auto"/>
        <w:right w:val="none" w:sz="0" w:space="0" w:color="auto"/>
      </w:divBdr>
      <w:divsChild>
        <w:div w:id="1630628897">
          <w:marLeft w:val="0"/>
          <w:marRight w:val="0"/>
          <w:marTop w:val="0"/>
          <w:marBottom w:val="0"/>
          <w:divBdr>
            <w:top w:val="none" w:sz="0" w:space="0" w:color="auto"/>
            <w:left w:val="none" w:sz="0" w:space="0" w:color="auto"/>
            <w:bottom w:val="none" w:sz="0" w:space="0" w:color="auto"/>
            <w:right w:val="none" w:sz="0" w:space="0" w:color="auto"/>
          </w:divBdr>
          <w:divsChild>
            <w:div w:id="7370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5375">
      <w:bodyDiv w:val="1"/>
      <w:marLeft w:val="0"/>
      <w:marRight w:val="0"/>
      <w:marTop w:val="0"/>
      <w:marBottom w:val="0"/>
      <w:divBdr>
        <w:top w:val="none" w:sz="0" w:space="0" w:color="auto"/>
        <w:left w:val="none" w:sz="0" w:space="0" w:color="auto"/>
        <w:bottom w:val="none" w:sz="0" w:space="0" w:color="auto"/>
        <w:right w:val="none" w:sz="0" w:space="0" w:color="auto"/>
      </w:divBdr>
      <w:divsChild>
        <w:div w:id="451948638">
          <w:marLeft w:val="547"/>
          <w:marRight w:val="0"/>
          <w:marTop w:val="0"/>
          <w:marBottom w:val="0"/>
          <w:divBdr>
            <w:top w:val="none" w:sz="0" w:space="0" w:color="auto"/>
            <w:left w:val="none" w:sz="0" w:space="0" w:color="auto"/>
            <w:bottom w:val="none" w:sz="0" w:space="0" w:color="auto"/>
            <w:right w:val="none" w:sz="0" w:space="0" w:color="auto"/>
          </w:divBdr>
        </w:div>
        <w:div w:id="929504381">
          <w:marLeft w:val="547"/>
          <w:marRight w:val="0"/>
          <w:marTop w:val="0"/>
          <w:marBottom w:val="0"/>
          <w:divBdr>
            <w:top w:val="none" w:sz="0" w:space="0" w:color="auto"/>
            <w:left w:val="none" w:sz="0" w:space="0" w:color="auto"/>
            <w:bottom w:val="none" w:sz="0" w:space="0" w:color="auto"/>
            <w:right w:val="none" w:sz="0" w:space="0" w:color="auto"/>
          </w:divBdr>
        </w:div>
        <w:div w:id="1114328027">
          <w:marLeft w:val="547"/>
          <w:marRight w:val="0"/>
          <w:marTop w:val="0"/>
          <w:marBottom w:val="0"/>
          <w:divBdr>
            <w:top w:val="none" w:sz="0" w:space="0" w:color="auto"/>
            <w:left w:val="none" w:sz="0" w:space="0" w:color="auto"/>
            <w:bottom w:val="none" w:sz="0" w:space="0" w:color="auto"/>
            <w:right w:val="none" w:sz="0" w:space="0" w:color="auto"/>
          </w:divBdr>
        </w:div>
        <w:div w:id="1258632218">
          <w:marLeft w:val="547"/>
          <w:marRight w:val="0"/>
          <w:marTop w:val="0"/>
          <w:marBottom w:val="0"/>
          <w:divBdr>
            <w:top w:val="none" w:sz="0" w:space="0" w:color="auto"/>
            <w:left w:val="none" w:sz="0" w:space="0" w:color="auto"/>
            <w:bottom w:val="none" w:sz="0" w:space="0" w:color="auto"/>
            <w:right w:val="none" w:sz="0" w:space="0" w:color="auto"/>
          </w:divBdr>
        </w:div>
        <w:div w:id="1656446017">
          <w:marLeft w:val="547"/>
          <w:marRight w:val="0"/>
          <w:marTop w:val="0"/>
          <w:marBottom w:val="0"/>
          <w:divBdr>
            <w:top w:val="none" w:sz="0" w:space="0" w:color="auto"/>
            <w:left w:val="none" w:sz="0" w:space="0" w:color="auto"/>
            <w:bottom w:val="none" w:sz="0" w:space="0" w:color="auto"/>
            <w:right w:val="none" w:sz="0" w:space="0" w:color="auto"/>
          </w:divBdr>
        </w:div>
      </w:divsChild>
    </w:div>
    <w:div w:id="1372195576">
      <w:bodyDiv w:val="1"/>
      <w:marLeft w:val="0"/>
      <w:marRight w:val="0"/>
      <w:marTop w:val="0"/>
      <w:marBottom w:val="0"/>
      <w:divBdr>
        <w:top w:val="none" w:sz="0" w:space="0" w:color="auto"/>
        <w:left w:val="none" w:sz="0" w:space="0" w:color="auto"/>
        <w:bottom w:val="none" w:sz="0" w:space="0" w:color="auto"/>
        <w:right w:val="none" w:sz="0" w:space="0" w:color="auto"/>
      </w:divBdr>
      <w:divsChild>
        <w:div w:id="153687794">
          <w:marLeft w:val="446"/>
          <w:marRight w:val="0"/>
          <w:marTop w:val="0"/>
          <w:marBottom w:val="0"/>
          <w:divBdr>
            <w:top w:val="none" w:sz="0" w:space="0" w:color="auto"/>
            <w:left w:val="none" w:sz="0" w:space="0" w:color="auto"/>
            <w:bottom w:val="none" w:sz="0" w:space="0" w:color="auto"/>
            <w:right w:val="none" w:sz="0" w:space="0" w:color="auto"/>
          </w:divBdr>
        </w:div>
      </w:divsChild>
    </w:div>
    <w:div w:id="1430083184">
      <w:bodyDiv w:val="1"/>
      <w:marLeft w:val="0"/>
      <w:marRight w:val="0"/>
      <w:marTop w:val="0"/>
      <w:marBottom w:val="0"/>
      <w:divBdr>
        <w:top w:val="none" w:sz="0" w:space="0" w:color="auto"/>
        <w:left w:val="none" w:sz="0" w:space="0" w:color="auto"/>
        <w:bottom w:val="none" w:sz="0" w:space="0" w:color="auto"/>
        <w:right w:val="none" w:sz="0" w:space="0" w:color="auto"/>
      </w:divBdr>
    </w:div>
    <w:div w:id="1440760100">
      <w:bodyDiv w:val="1"/>
      <w:marLeft w:val="0"/>
      <w:marRight w:val="0"/>
      <w:marTop w:val="0"/>
      <w:marBottom w:val="0"/>
      <w:divBdr>
        <w:top w:val="none" w:sz="0" w:space="0" w:color="auto"/>
        <w:left w:val="none" w:sz="0" w:space="0" w:color="auto"/>
        <w:bottom w:val="none" w:sz="0" w:space="0" w:color="auto"/>
        <w:right w:val="none" w:sz="0" w:space="0" w:color="auto"/>
      </w:divBdr>
      <w:divsChild>
        <w:div w:id="2082218599">
          <w:marLeft w:val="0"/>
          <w:marRight w:val="0"/>
          <w:marTop w:val="0"/>
          <w:marBottom w:val="0"/>
          <w:divBdr>
            <w:top w:val="none" w:sz="0" w:space="0" w:color="auto"/>
            <w:left w:val="none" w:sz="0" w:space="0" w:color="auto"/>
            <w:bottom w:val="none" w:sz="0" w:space="0" w:color="auto"/>
            <w:right w:val="none" w:sz="0" w:space="0" w:color="auto"/>
          </w:divBdr>
          <w:divsChild>
            <w:div w:id="116852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62975">
      <w:bodyDiv w:val="1"/>
      <w:marLeft w:val="0"/>
      <w:marRight w:val="0"/>
      <w:marTop w:val="0"/>
      <w:marBottom w:val="0"/>
      <w:divBdr>
        <w:top w:val="none" w:sz="0" w:space="0" w:color="auto"/>
        <w:left w:val="none" w:sz="0" w:space="0" w:color="auto"/>
        <w:bottom w:val="none" w:sz="0" w:space="0" w:color="auto"/>
        <w:right w:val="none" w:sz="0" w:space="0" w:color="auto"/>
      </w:divBdr>
    </w:div>
    <w:div w:id="1546723144">
      <w:bodyDiv w:val="1"/>
      <w:marLeft w:val="0"/>
      <w:marRight w:val="0"/>
      <w:marTop w:val="0"/>
      <w:marBottom w:val="0"/>
      <w:divBdr>
        <w:top w:val="none" w:sz="0" w:space="0" w:color="auto"/>
        <w:left w:val="none" w:sz="0" w:space="0" w:color="auto"/>
        <w:bottom w:val="none" w:sz="0" w:space="0" w:color="auto"/>
        <w:right w:val="none" w:sz="0" w:space="0" w:color="auto"/>
      </w:divBdr>
      <w:divsChild>
        <w:div w:id="1313950991">
          <w:marLeft w:val="547"/>
          <w:marRight w:val="0"/>
          <w:marTop w:val="0"/>
          <w:marBottom w:val="0"/>
          <w:divBdr>
            <w:top w:val="none" w:sz="0" w:space="0" w:color="auto"/>
            <w:left w:val="none" w:sz="0" w:space="0" w:color="auto"/>
            <w:bottom w:val="none" w:sz="0" w:space="0" w:color="auto"/>
            <w:right w:val="none" w:sz="0" w:space="0" w:color="auto"/>
          </w:divBdr>
        </w:div>
      </w:divsChild>
    </w:div>
    <w:div w:id="1657491000">
      <w:bodyDiv w:val="1"/>
      <w:marLeft w:val="0"/>
      <w:marRight w:val="0"/>
      <w:marTop w:val="0"/>
      <w:marBottom w:val="0"/>
      <w:divBdr>
        <w:top w:val="none" w:sz="0" w:space="0" w:color="auto"/>
        <w:left w:val="none" w:sz="0" w:space="0" w:color="auto"/>
        <w:bottom w:val="none" w:sz="0" w:space="0" w:color="auto"/>
        <w:right w:val="none" w:sz="0" w:space="0" w:color="auto"/>
      </w:divBdr>
      <w:divsChild>
        <w:div w:id="38628197">
          <w:marLeft w:val="547"/>
          <w:marRight w:val="0"/>
          <w:marTop w:val="0"/>
          <w:marBottom w:val="0"/>
          <w:divBdr>
            <w:top w:val="none" w:sz="0" w:space="0" w:color="auto"/>
            <w:left w:val="none" w:sz="0" w:space="0" w:color="auto"/>
            <w:bottom w:val="none" w:sz="0" w:space="0" w:color="auto"/>
            <w:right w:val="none" w:sz="0" w:space="0" w:color="auto"/>
          </w:divBdr>
        </w:div>
        <w:div w:id="1926566682">
          <w:marLeft w:val="547"/>
          <w:marRight w:val="0"/>
          <w:marTop w:val="0"/>
          <w:marBottom w:val="0"/>
          <w:divBdr>
            <w:top w:val="none" w:sz="0" w:space="0" w:color="auto"/>
            <w:left w:val="none" w:sz="0" w:space="0" w:color="auto"/>
            <w:bottom w:val="none" w:sz="0" w:space="0" w:color="auto"/>
            <w:right w:val="none" w:sz="0" w:space="0" w:color="auto"/>
          </w:divBdr>
        </w:div>
        <w:div w:id="2144427050">
          <w:marLeft w:val="547"/>
          <w:marRight w:val="0"/>
          <w:marTop w:val="0"/>
          <w:marBottom w:val="0"/>
          <w:divBdr>
            <w:top w:val="none" w:sz="0" w:space="0" w:color="auto"/>
            <w:left w:val="none" w:sz="0" w:space="0" w:color="auto"/>
            <w:bottom w:val="none" w:sz="0" w:space="0" w:color="auto"/>
            <w:right w:val="none" w:sz="0" w:space="0" w:color="auto"/>
          </w:divBdr>
        </w:div>
      </w:divsChild>
    </w:div>
    <w:div w:id="1680277942">
      <w:bodyDiv w:val="1"/>
      <w:marLeft w:val="0"/>
      <w:marRight w:val="0"/>
      <w:marTop w:val="0"/>
      <w:marBottom w:val="0"/>
      <w:divBdr>
        <w:top w:val="none" w:sz="0" w:space="0" w:color="auto"/>
        <w:left w:val="none" w:sz="0" w:space="0" w:color="auto"/>
        <w:bottom w:val="none" w:sz="0" w:space="0" w:color="auto"/>
        <w:right w:val="none" w:sz="0" w:space="0" w:color="auto"/>
      </w:divBdr>
      <w:divsChild>
        <w:div w:id="2106922208">
          <w:marLeft w:val="0"/>
          <w:marRight w:val="0"/>
          <w:marTop w:val="0"/>
          <w:marBottom w:val="0"/>
          <w:divBdr>
            <w:top w:val="none" w:sz="0" w:space="0" w:color="auto"/>
            <w:left w:val="none" w:sz="0" w:space="0" w:color="auto"/>
            <w:bottom w:val="none" w:sz="0" w:space="0" w:color="auto"/>
            <w:right w:val="none" w:sz="0" w:space="0" w:color="auto"/>
          </w:divBdr>
        </w:div>
      </w:divsChild>
    </w:div>
    <w:div w:id="1695111094">
      <w:bodyDiv w:val="1"/>
      <w:marLeft w:val="0"/>
      <w:marRight w:val="0"/>
      <w:marTop w:val="0"/>
      <w:marBottom w:val="0"/>
      <w:divBdr>
        <w:top w:val="none" w:sz="0" w:space="0" w:color="auto"/>
        <w:left w:val="none" w:sz="0" w:space="0" w:color="auto"/>
        <w:bottom w:val="none" w:sz="0" w:space="0" w:color="auto"/>
        <w:right w:val="none" w:sz="0" w:space="0" w:color="auto"/>
      </w:divBdr>
      <w:divsChild>
        <w:div w:id="452210274">
          <w:marLeft w:val="547"/>
          <w:marRight w:val="0"/>
          <w:marTop w:val="0"/>
          <w:marBottom w:val="0"/>
          <w:divBdr>
            <w:top w:val="none" w:sz="0" w:space="0" w:color="auto"/>
            <w:left w:val="none" w:sz="0" w:space="0" w:color="auto"/>
            <w:bottom w:val="none" w:sz="0" w:space="0" w:color="auto"/>
            <w:right w:val="none" w:sz="0" w:space="0" w:color="auto"/>
          </w:divBdr>
        </w:div>
        <w:div w:id="799957711">
          <w:marLeft w:val="547"/>
          <w:marRight w:val="0"/>
          <w:marTop w:val="0"/>
          <w:marBottom w:val="0"/>
          <w:divBdr>
            <w:top w:val="none" w:sz="0" w:space="0" w:color="auto"/>
            <w:left w:val="none" w:sz="0" w:space="0" w:color="auto"/>
            <w:bottom w:val="none" w:sz="0" w:space="0" w:color="auto"/>
            <w:right w:val="none" w:sz="0" w:space="0" w:color="auto"/>
          </w:divBdr>
        </w:div>
        <w:div w:id="816074777">
          <w:marLeft w:val="547"/>
          <w:marRight w:val="0"/>
          <w:marTop w:val="0"/>
          <w:marBottom w:val="0"/>
          <w:divBdr>
            <w:top w:val="none" w:sz="0" w:space="0" w:color="auto"/>
            <w:left w:val="none" w:sz="0" w:space="0" w:color="auto"/>
            <w:bottom w:val="none" w:sz="0" w:space="0" w:color="auto"/>
            <w:right w:val="none" w:sz="0" w:space="0" w:color="auto"/>
          </w:divBdr>
        </w:div>
        <w:div w:id="1660036984">
          <w:marLeft w:val="547"/>
          <w:marRight w:val="0"/>
          <w:marTop w:val="0"/>
          <w:marBottom w:val="0"/>
          <w:divBdr>
            <w:top w:val="none" w:sz="0" w:space="0" w:color="auto"/>
            <w:left w:val="none" w:sz="0" w:space="0" w:color="auto"/>
            <w:bottom w:val="none" w:sz="0" w:space="0" w:color="auto"/>
            <w:right w:val="none" w:sz="0" w:space="0" w:color="auto"/>
          </w:divBdr>
        </w:div>
        <w:div w:id="1711683037">
          <w:marLeft w:val="547"/>
          <w:marRight w:val="0"/>
          <w:marTop w:val="0"/>
          <w:marBottom w:val="0"/>
          <w:divBdr>
            <w:top w:val="none" w:sz="0" w:space="0" w:color="auto"/>
            <w:left w:val="none" w:sz="0" w:space="0" w:color="auto"/>
            <w:bottom w:val="none" w:sz="0" w:space="0" w:color="auto"/>
            <w:right w:val="none" w:sz="0" w:space="0" w:color="auto"/>
          </w:divBdr>
        </w:div>
        <w:div w:id="2136676326">
          <w:marLeft w:val="547"/>
          <w:marRight w:val="0"/>
          <w:marTop w:val="0"/>
          <w:marBottom w:val="0"/>
          <w:divBdr>
            <w:top w:val="none" w:sz="0" w:space="0" w:color="auto"/>
            <w:left w:val="none" w:sz="0" w:space="0" w:color="auto"/>
            <w:bottom w:val="none" w:sz="0" w:space="0" w:color="auto"/>
            <w:right w:val="none" w:sz="0" w:space="0" w:color="auto"/>
          </w:divBdr>
        </w:div>
      </w:divsChild>
    </w:div>
    <w:div w:id="1722437429">
      <w:bodyDiv w:val="1"/>
      <w:marLeft w:val="0"/>
      <w:marRight w:val="0"/>
      <w:marTop w:val="0"/>
      <w:marBottom w:val="0"/>
      <w:divBdr>
        <w:top w:val="none" w:sz="0" w:space="0" w:color="auto"/>
        <w:left w:val="none" w:sz="0" w:space="0" w:color="auto"/>
        <w:bottom w:val="none" w:sz="0" w:space="0" w:color="auto"/>
        <w:right w:val="none" w:sz="0" w:space="0" w:color="auto"/>
      </w:divBdr>
    </w:div>
    <w:div w:id="1760322068">
      <w:bodyDiv w:val="1"/>
      <w:marLeft w:val="0"/>
      <w:marRight w:val="0"/>
      <w:marTop w:val="0"/>
      <w:marBottom w:val="0"/>
      <w:divBdr>
        <w:top w:val="none" w:sz="0" w:space="0" w:color="auto"/>
        <w:left w:val="none" w:sz="0" w:space="0" w:color="auto"/>
        <w:bottom w:val="none" w:sz="0" w:space="0" w:color="auto"/>
        <w:right w:val="none" w:sz="0" w:space="0" w:color="auto"/>
      </w:divBdr>
    </w:div>
    <w:div w:id="1816333372">
      <w:bodyDiv w:val="1"/>
      <w:marLeft w:val="0"/>
      <w:marRight w:val="0"/>
      <w:marTop w:val="0"/>
      <w:marBottom w:val="0"/>
      <w:divBdr>
        <w:top w:val="none" w:sz="0" w:space="0" w:color="auto"/>
        <w:left w:val="none" w:sz="0" w:space="0" w:color="auto"/>
        <w:bottom w:val="none" w:sz="0" w:space="0" w:color="auto"/>
        <w:right w:val="none" w:sz="0" w:space="0" w:color="auto"/>
      </w:divBdr>
      <w:divsChild>
        <w:div w:id="1786264256">
          <w:marLeft w:val="547"/>
          <w:marRight w:val="0"/>
          <w:marTop w:val="0"/>
          <w:marBottom w:val="0"/>
          <w:divBdr>
            <w:top w:val="none" w:sz="0" w:space="0" w:color="auto"/>
            <w:left w:val="none" w:sz="0" w:space="0" w:color="auto"/>
            <w:bottom w:val="none" w:sz="0" w:space="0" w:color="auto"/>
            <w:right w:val="none" w:sz="0" w:space="0" w:color="auto"/>
          </w:divBdr>
        </w:div>
      </w:divsChild>
    </w:div>
    <w:div w:id="1822766271">
      <w:bodyDiv w:val="1"/>
      <w:marLeft w:val="0"/>
      <w:marRight w:val="0"/>
      <w:marTop w:val="0"/>
      <w:marBottom w:val="0"/>
      <w:divBdr>
        <w:top w:val="none" w:sz="0" w:space="0" w:color="auto"/>
        <w:left w:val="none" w:sz="0" w:space="0" w:color="auto"/>
        <w:bottom w:val="none" w:sz="0" w:space="0" w:color="auto"/>
        <w:right w:val="none" w:sz="0" w:space="0" w:color="auto"/>
      </w:divBdr>
    </w:div>
    <w:div w:id="1843858589">
      <w:bodyDiv w:val="1"/>
      <w:marLeft w:val="0"/>
      <w:marRight w:val="0"/>
      <w:marTop w:val="0"/>
      <w:marBottom w:val="0"/>
      <w:divBdr>
        <w:top w:val="none" w:sz="0" w:space="0" w:color="auto"/>
        <w:left w:val="none" w:sz="0" w:space="0" w:color="auto"/>
        <w:bottom w:val="none" w:sz="0" w:space="0" w:color="auto"/>
        <w:right w:val="none" w:sz="0" w:space="0" w:color="auto"/>
      </w:divBdr>
    </w:div>
    <w:div w:id="1859350878">
      <w:bodyDiv w:val="1"/>
      <w:marLeft w:val="0"/>
      <w:marRight w:val="0"/>
      <w:marTop w:val="0"/>
      <w:marBottom w:val="0"/>
      <w:divBdr>
        <w:top w:val="none" w:sz="0" w:space="0" w:color="auto"/>
        <w:left w:val="none" w:sz="0" w:space="0" w:color="auto"/>
        <w:bottom w:val="none" w:sz="0" w:space="0" w:color="auto"/>
        <w:right w:val="none" w:sz="0" w:space="0" w:color="auto"/>
      </w:divBdr>
    </w:div>
    <w:div w:id="1934588125">
      <w:bodyDiv w:val="1"/>
      <w:marLeft w:val="0"/>
      <w:marRight w:val="0"/>
      <w:marTop w:val="0"/>
      <w:marBottom w:val="0"/>
      <w:divBdr>
        <w:top w:val="none" w:sz="0" w:space="0" w:color="auto"/>
        <w:left w:val="none" w:sz="0" w:space="0" w:color="auto"/>
        <w:bottom w:val="none" w:sz="0" w:space="0" w:color="auto"/>
        <w:right w:val="none" w:sz="0" w:space="0" w:color="auto"/>
      </w:divBdr>
      <w:divsChild>
        <w:div w:id="2127389289">
          <w:marLeft w:val="0"/>
          <w:marRight w:val="0"/>
          <w:marTop w:val="0"/>
          <w:marBottom w:val="0"/>
          <w:divBdr>
            <w:top w:val="none" w:sz="0" w:space="0" w:color="auto"/>
            <w:left w:val="none" w:sz="0" w:space="0" w:color="auto"/>
            <w:bottom w:val="none" w:sz="0" w:space="0" w:color="auto"/>
            <w:right w:val="none" w:sz="0" w:space="0" w:color="auto"/>
          </w:divBdr>
          <w:divsChild>
            <w:div w:id="45570548">
              <w:marLeft w:val="0"/>
              <w:marRight w:val="0"/>
              <w:marTop w:val="0"/>
              <w:marBottom w:val="0"/>
              <w:divBdr>
                <w:top w:val="none" w:sz="0" w:space="0" w:color="auto"/>
                <w:left w:val="none" w:sz="0" w:space="0" w:color="auto"/>
                <w:bottom w:val="none" w:sz="0" w:space="0" w:color="auto"/>
                <w:right w:val="none" w:sz="0" w:space="0" w:color="auto"/>
              </w:divBdr>
              <w:divsChild>
                <w:div w:id="1859847158">
                  <w:marLeft w:val="0"/>
                  <w:marRight w:val="0"/>
                  <w:marTop w:val="0"/>
                  <w:marBottom w:val="0"/>
                  <w:divBdr>
                    <w:top w:val="none" w:sz="0" w:space="0" w:color="auto"/>
                    <w:left w:val="none" w:sz="0" w:space="0" w:color="auto"/>
                    <w:bottom w:val="none" w:sz="0" w:space="0" w:color="auto"/>
                    <w:right w:val="none" w:sz="0" w:space="0" w:color="auto"/>
                  </w:divBdr>
                  <w:divsChild>
                    <w:div w:id="1656058614">
                      <w:marLeft w:val="0"/>
                      <w:marRight w:val="0"/>
                      <w:marTop w:val="0"/>
                      <w:marBottom w:val="0"/>
                      <w:divBdr>
                        <w:top w:val="none" w:sz="0" w:space="0" w:color="auto"/>
                        <w:left w:val="none" w:sz="0" w:space="0" w:color="auto"/>
                        <w:bottom w:val="none" w:sz="0" w:space="0" w:color="auto"/>
                        <w:right w:val="none" w:sz="0" w:space="0" w:color="auto"/>
                      </w:divBdr>
                      <w:divsChild>
                        <w:div w:id="1855418025">
                          <w:marLeft w:val="0"/>
                          <w:marRight w:val="0"/>
                          <w:marTop w:val="0"/>
                          <w:marBottom w:val="0"/>
                          <w:divBdr>
                            <w:top w:val="none" w:sz="0" w:space="0" w:color="auto"/>
                            <w:left w:val="none" w:sz="0" w:space="0" w:color="auto"/>
                            <w:bottom w:val="none" w:sz="0" w:space="0" w:color="auto"/>
                            <w:right w:val="none" w:sz="0" w:space="0" w:color="auto"/>
                          </w:divBdr>
                          <w:divsChild>
                            <w:div w:id="748118573">
                              <w:marLeft w:val="0"/>
                              <w:marRight w:val="0"/>
                              <w:marTop w:val="0"/>
                              <w:marBottom w:val="0"/>
                              <w:divBdr>
                                <w:top w:val="none" w:sz="0" w:space="0" w:color="auto"/>
                                <w:left w:val="none" w:sz="0" w:space="0" w:color="auto"/>
                                <w:bottom w:val="none" w:sz="0" w:space="0" w:color="auto"/>
                                <w:right w:val="none" w:sz="0" w:space="0" w:color="auto"/>
                              </w:divBdr>
                              <w:divsChild>
                                <w:div w:id="3365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282832">
      <w:bodyDiv w:val="1"/>
      <w:marLeft w:val="0"/>
      <w:marRight w:val="0"/>
      <w:marTop w:val="0"/>
      <w:marBottom w:val="0"/>
      <w:divBdr>
        <w:top w:val="none" w:sz="0" w:space="0" w:color="auto"/>
        <w:left w:val="none" w:sz="0" w:space="0" w:color="auto"/>
        <w:bottom w:val="none" w:sz="0" w:space="0" w:color="auto"/>
        <w:right w:val="none" w:sz="0" w:space="0" w:color="auto"/>
      </w:divBdr>
      <w:divsChild>
        <w:div w:id="822500735">
          <w:marLeft w:val="0"/>
          <w:marRight w:val="0"/>
          <w:marTop w:val="0"/>
          <w:marBottom w:val="0"/>
          <w:divBdr>
            <w:top w:val="none" w:sz="0" w:space="0" w:color="auto"/>
            <w:left w:val="none" w:sz="0" w:space="0" w:color="auto"/>
            <w:bottom w:val="none" w:sz="0" w:space="0" w:color="auto"/>
            <w:right w:val="none" w:sz="0" w:space="0" w:color="auto"/>
          </w:divBdr>
          <w:divsChild>
            <w:div w:id="1388604008">
              <w:marLeft w:val="0"/>
              <w:marRight w:val="0"/>
              <w:marTop w:val="0"/>
              <w:marBottom w:val="0"/>
              <w:divBdr>
                <w:top w:val="none" w:sz="0" w:space="0" w:color="auto"/>
                <w:left w:val="none" w:sz="0" w:space="0" w:color="auto"/>
                <w:bottom w:val="none" w:sz="0" w:space="0" w:color="auto"/>
                <w:right w:val="none" w:sz="0" w:space="0" w:color="auto"/>
              </w:divBdr>
              <w:divsChild>
                <w:div w:id="109979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14992">
      <w:bodyDiv w:val="1"/>
      <w:marLeft w:val="0"/>
      <w:marRight w:val="0"/>
      <w:marTop w:val="0"/>
      <w:marBottom w:val="0"/>
      <w:divBdr>
        <w:top w:val="none" w:sz="0" w:space="0" w:color="auto"/>
        <w:left w:val="none" w:sz="0" w:space="0" w:color="auto"/>
        <w:bottom w:val="none" w:sz="0" w:space="0" w:color="auto"/>
        <w:right w:val="none" w:sz="0" w:space="0" w:color="auto"/>
      </w:divBdr>
      <w:divsChild>
        <w:div w:id="50667494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diagramData" Target="diagrams/data1.xml"/><Relationship Id="rId42" Type="http://schemas.openxmlformats.org/officeDocument/2006/relationships/diagramQuickStyle" Target="diagrams/quickStyle2.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image" Target="media/image22.png"/><Relationship Id="rId38" Type="http://schemas.microsoft.com/office/2007/relationships/diagramDrawing" Target="diagrams/drawing1.xml"/><Relationship Id="rId46" Type="http://schemas.openxmlformats.org/officeDocument/2006/relationships/image" Target="media/image25.png"/><Relationship Id="rId59"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diagramLayout" Target="diagrams/layout2.xm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diagramColors" Target="diagrams/colors1.xml"/><Relationship Id="rId40" Type="http://schemas.openxmlformats.org/officeDocument/2006/relationships/diagramData" Target="diagrams/data2.xml"/><Relationship Id="rId45" Type="http://schemas.openxmlformats.org/officeDocument/2006/relationships/image" Target="media/image24.png"/><Relationship Id="rId53" Type="http://schemas.openxmlformats.org/officeDocument/2006/relationships/footer" Target="footer2.xml"/><Relationship Id="rId58"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50.png"/><Relationship Id="rId36" Type="http://schemas.openxmlformats.org/officeDocument/2006/relationships/diagramQuickStyle" Target="diagrams/quickStyle1.xml"/><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0.png"/><Relationship Id="rId44" Type="http://schemas.microsoft.com/office/2007/relationships/diagramDrawing" Target="diagrams/drawing2.xml"/><Relationship Id="rId52" Type="http://schemas.openxmlformats.org/officeDocument/2006/relationships/footer" Target="footer1.xml"/><Relationship Id="rId60"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40.png"/><Relationship Id="rId30" Type="http://schemas.openxmlformats.org/officeDocument/2006/relationships/image" Target="media/image19.png"/><Relationship Id="rId35" Type="http://schemas.openxmlformats.org/officeDocument/2006/relationships/diagramLayout" Target="diagrams/layout1.xml"/><Relationship Id="rId43" Type="http://schemas.openxmlformats.org/officeDocument/2006/relationships/diagramColors" Target="diagrams/colors2.xml"/><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haun\Documents\Clients\DBSA\2016_17\Scope%20sup%20docs\Copy%20of%2015%20April%202016%20Metro%20inf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2016/17 PLANNED EXTERNAL LOANS  </a:t>
            </a:r>
          </a:p>
        </c:rich>
      </c:tx>
      <c:overlay val="0"/>
      <c:spPr>
        <a:noFill/>
        <a:ln>
          <a:noFill/>
        </a:ln>
        <a:effectLst/>
      </c:spPr>
    </c:title>
    <c:autoTitleDeleted val="0"/>
    <c:plotArea>
      <c:layout/>
      <c:barChart>
        <c:barDir val="col"/>
        <c:grouping val="clustered"/>
        <c:varyColors val="0"/>
        <c:ser>
          <c:idx val="2"/>
          <c:order val="0"/>
          <c:tx>
            <c:strRef>
              <c:f>'Capital Budget 1617 to 1718'!$E$54</c:f>
              <c:strCache>
                <c:ptCount val="1"/>
                <c:pt idx="0">
                  <c:v>External loans  </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solidFill>
                <a:srgbClr val="A25C0A"/>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'Capital Budget 1617 to 1718'!$C$57:$C$62</c:f>
              <c:strCache>
                <c:ptCount val="6"/>
                <c:pt idx="0">
                  <c:v>Mangaung </c:v>
                </c:pt>
                <c:pt idx="1">
                  <c:v>Ekurhuleni </c:v>
                </c:pt>
                <c:pt idx="2">
                  <c:v>City of Johannesburg </c:v>
                </c:pt>
                <c:pt idx="3">
                  <c:v>City of Tshwane</c:v>
                </c:pt>
                <c:pt idx="4">
                  <c:v>eThekwini </c:v>
                </c:pt>
                <c:pt idx="5">
                  <c:v>City of Cape Town </c:v>
                </c:pt>
              </c:strCache>
            </c:strRef>
          </c:cat>
          <c:val>
            <c:numRef>
              <c:f>'Capital Budget 1617 to 1718'!$E$57:$E$62</c:f>
              <c:numCache>
                <c:formatCode>_(* #.##0_);_(* \(#.##0\);_(* "-"??_);_(@_)</c:formatCode>
                <c:ptCount val="6"/>
                <c:pt idx="0">
                  <c:v>1072</c:v>
                </c:pt>
                <c:pt idx="1">
                  <c:v>1812</c:v>
                </c:pt>
                <c:pt idx="2">
                  <c:v>2506</c:v>
                </c:pt>
                <c:pt idx="3">
                  <c:v>1200</c:v>
                </c:pt>
                <c:pt idx="4">
                  <c:v>1000</c:v>
                </c:pt>
                <c:pt idx="5">
                  <c:v>1500</c:v>
                </c:pt>
              </c:numCache>
            </c:numRef>
          </c:val>
          <c:extLst xmlns:c16r2="http://schemas.microsoft.com/office/drawing/2015/06/chart">
            <c:ext xmlns:c16="http://schemas.microsoft.com/office/drawing/2014/chart" uri="{C3380CC4-5D6E-409C-BE32-E72D297353CC}">
              <c16:uniqueId val="{00000000-BAEA-423B-AE4C-BDC3711F5BA1}"/>
            </c:ext>
          </c:extLst>
        </c:ser>
        <c:dLbls>
          <c:dLblPos val="outEnd"/>
          <c:showLegendKey val="0"/>
          <c:showVal val="1"/>
          <c:showCatName val="0"/>
          <c:showSerName val="0"/>
          <c:showPercent val="0"/>
          <c:showBubbleSize val="0"/>
        </c:dLbls>
        <c:gapWidth val="100"/>
        <c:overlap val="-24"/>
        <c:axId val="47990656"/>
        <c:axId val="151450368"/>
      </c:barChart>
      <c:catAx>
        <c:axId val="47990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1450368"/>
        <c:crosses val="autoZero"/>
        <c:auto val="1"/>
        <c:lblAlgn val="ctr"/>
        <c:lblOffset val="100"/>
        <c:noMultiLvlLbl val="0"/>
      </c:catAx>
      <c:valAx>
        <c:axId val="15145036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solidFill>
              <a:srgbClr val="C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9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EB8FF0-567B-4E20-B644-45D1F4972CFA}" type="doc">
      <dgm:prSet loTypeId="urn:microsoft.com/office/officeart/2005/8/layout/hProcess9" loCatId="process" qsTypeId="urn:microsoft.com/office/officeart/2005/8/quickstyle/simple1" qsCatId="simple" csTypeId="urn:microsoft.com/office/officeart/2005/8/colors/colorful2" csCatId="colorful" phldr="1"/>
      <dgm:spPr/>
    </dgm:pt>
    <dgm:pt modelId="{1F7DC346-F05E-4C90-BA9A-C25F5CAF5EE9}">
      <dgm:prSet phldrT="[Text]"/>
      <dgm:spPr>
        <a:scene3d>
          <a:camera prst="orthographicFront"/>
          <a:lightRig rig="threePt" dir="t"/>
        </a:scene3d>
        <a:sp3d>
          <a:bevelT w="114300" prst="artDeco"/>
        </a:sp3d>
      </dgm:spPr>
      <dgm:t>
        <a:bodyPr/>
        <a:lstStyle/>
        <a:p>
          <a:r>
            <a:rPr lang="en-US" dirty="0"/>
            <a:t>Mobilisation phase</a:t>
          </a:r>
        </a:p>
      </dgm:t>
    </dgm:pt>
    <dgm:pt modelId="{571BF0C7-113F-435B-96AB-2F3B52168F36}" type="parTrans" cxnId="{6438F968-1F45-459C-B894-11217B3BAC75}">
      <dgm:prSet/>
      <dgm:spPr/>
      <dgm:t>
        <a:bodyPr/>
        <a:lstStyle/>
        <a:p>
          <a:endParaRPr lang="en-US"/>
        </a:p>
      </dgm:t>
    </dgm:pt>
    <dgm:pt modelId="{AE044A4A-C999-42BB-A56D-66FDF3CD1CC4}" type="sibTrans" cxnId="{6438F968-1F45-459C-B894-11217B3BAC75}">
      <dgm:prSet/>
      <dgm:spPr/>
      <dgm:t>
        <a:bodyPr/>
        <a:lstStyle/>
        <a:p>
          <a:endParaRPr lang="en-US"/>
        </a:p>
      </dgm:t>
    </dgm:pt>
    <dgm:pt modelId="{63BEF50B-C43E-45D4-B4F1-D1EBED8CA638}">
      <dgm:prSet phldrT="[Text]"/>
      <dgm:spPr>
        <a:scene3d>
          <a:camera prst="orthographicFront"/>
          <a:lightRig rig="threePt" dir="t"/>
        </a:scene3d>
        <a:sp3d>
          <a:bevelT w="114300" prst="artDeco"/>
        </a:sp3d>
      </dgm:spPr>
      <dgm:t>
        <a:bodyPr/>
        <a:lstStyle/>
        <a:p>
          <a:r>
            <a:rPr lang="en-US" dirty="0"/>
            <a:t>Analysis phase</a:t>
          </a:r>
        </a:p>
      </dgm:t>
    </dgm:pt>
    <dgm:pt modelId="{B758625A-E6C2-4CC7-B318-8BA9DA683025}" type="parTrans" cxnId="{4775CFF1-37F3-48B3-B440-D321BAAFE05B}">
      <dgm:prSet/>
      <dgm:spPr/>
      <dgm:t>
        <a:bodyPr/>
        <a:lstStyle/>
        <a:p>
          <a:endParaRPr lang="en-US"/>
        </a:p>
      </dgm:t>
    </dgm:pt>
    <dgm:pt modelId="{32122D13-ADB5-4F44-9717-28D6B0386BFA}" type="sibTrans" cxnId="{4775CFF1-37F3-48B3-B440-D321BAAFE05B}">
      <dgm:prSet/>
      <dgm:spPr/>
      <dgm:t>
        <a:bodyPr/>
        <a:lstStyle/>
        <a:p>
          <a:endParaRPr lang="en-US"/>
        </a:p>
      </dgm:t>
    </dgm:pt>
    <dgm:pt modelId="{CF3D289B-1BEE-432C-A565-1408F801BC78}">
      <dgm:prSet phldrT="[Text]"/>
      <dgm:spPr>
        <a:scene3d>
          <a:camera prst="orthographicFront"/>
          <a:lightRig rig="threePt" dir="t"/>
        </a:scene3d>
        <a:sp3d>
          <a:bevelT w="114300" prst="artDeco"/>
        </a:sp3d>
      </dgm:spPr>
      <dgm:t>
        <a:bodyPr/>
        <a:lstStyle/>
        <a:p>
          <a:r>
            <a:rPr lang="en-US" dirty="0"/>
            <a:t>Decision phase</a:t>
          </a:r>
        </a:p>
      </dgm:t>
    </dgm:pt>
    <dgm:pt modelId="{178A9C1B-10D0-421E-BAD9-BB2085BD1BEF}" type="parTrans" cxnId="{0AFF1A97-01CC-4EA2-85C5-E84FF53ABA9F}">
      <dgm:prSet/>
      <dgm:spPr/>
      <dgm:t>
        <a:bodyPr/>
        <a:lstStyle/>
        <a:p>
          <a:endParaRPr lang="en-US"/>
        </a:p>
      </dgm:t>
    </dgm:pt>
    <dgm:pt modelId="{80EE78E9-10E8-4BEB-89E4-6A468FD683A1}" type="sibTrans" cxnId="{0AFF1A97-01CC-4EA2-85C5-E84FF53ABA9F}">
      <dgm:prSet/>
      <dgm:spPr/>
      <dgm:t>
        <a:bodyPr/>
        <a:lstStyle/>
        <a:p>
          <a:endParaRPr lang="en-US"/>
        </a:p>
      </dgm:t>
    </dgm:pt>
    <dgm:pt modelId="{436E2208-37A7-4744-B560-874403E9CD7E}">
      <dgm:prSet phldrT="[Text]"/>
      <dgm:spPr>
        <a:scene3d>
          <a:camera prst="orthographicFront"/>
          <a:lightRig rig="threePt" dir="t"/>
        </a:scene3d>
        <a:sp3d>
          <a:bevelT w="114300" prst="artDeco"/>
        </a:sp3d>
      </dgm:spPr>
      <dgm:t>
        <a:bodyPr/>
        <a:lstStyle/>
        <a:p>
          <a:r>
            <a:rPr lang="en-US" dirty="0"/>
            <a:t>Execution phase</a:t>
          </a:r>
        </a:p>
      </dgm:t>
    </dgm:pt>
    <dgm:pt modelId="{A84F1431-367F-4D9B-BCB0-857A191AEECA}" type="parTrans" cxnId="{AB168DAE-A396-4815-A5BB-6A90371DD6F8}">
      <dgm:prSet/>
      <dgm:spPr/>
      <dgm:t>
        <a:bodyPr/>
        <a:lstStyle/>
        <a:p>
          <a:endParaRPr lang="en-US"/>
        </a:p>
      </dgm:t>
    </dgm:pt>
    <dgm:pt modelId="{54D62308-BDB9-4841-B4B8-22A3E5DEBD19}" type="sibTrans" cxnId="{AB168DAE-A396-4815-A5BB-6A90371DD6F8}">
      <dgm:prSet/>
      <dgm:spPr/>
      <dgm:t>
        <a:bodyPr/>
        <a:lstStyle/>
        <a:p>
          <a:endParaRPr lang="en-US"/>
        </a:p>
      </dgm:t>
    </dgm:pt>
    <dgm:pt modelId="{BC61F09F-7D68-4C24-AFA0-91CD8710561F}" type="pres">
      <dgm:prSet presAssocID="{84EB8FF0-567B-4E20-B644-45D1F4972CFA}" presName="CompostProcess" presStyleCnt="0">
        <dgm:presLayoutVars>
          <dgm:dir/>
          <dgm:resizeHandles val="exact"/>
        </dgm:presLayoutVars>
      </dgm:prSet>
      <dgm:spPr/>
    </dgm:pt>
    <dgm:pt modelId="{18CB807F-05B0-4B51-B88A-D786E9AD1E53}" type="pres">
      <dgm:prSet presAssocID="{84EB8FF0-567B-4E20-B644-45D1F4972CFA}" presName="arrow" presStyleLbl="bgShp" presStyleIdx="0" presStyleCnt="1"/>
      <dgm:spPr/>
    </dgm:pt>
    <dgm:pt modelId="{524113A3-C6D1-4170-9497-9F753B0A0EFF}" type="pres">
      <dgm:prSet presAssocID="{84EB8FF0-567B-4E20-B644-45D1F4972CFA}" presName="linearProcess" presStyleCnt="0"/>
      <dgm:spPr/>
    </dgm:pt>
    <dgm:pt modelId="{68372468-E9C4-40A3-BC93-5A05A7B7DB9C}" type="pres">
      <dgm:prSet presAssocID="{1F7DC346-F05E-4C90-BA9A-C25F5CAF5EE9}" presName="textNode" presStyleLbl="node1" presStyleIdx="0" presStyleCnt="4">
        <dgm:presLayoutVars>
          <dgm:bulletEnabled val="1"/>
        </dgm:presLayoutVars>
      </dgm:prSet>
      <dgm:spPr/>
      <dgm:t>
        <a:bodyPr/>
        <a:lstStyle/>
        <a:p>
          <a:endParaRPr lang="en-ZA"/>
        </a:p>
      </dgm:t>
    </dgm:pt>
    <dgm:pt modelId="{F6D64D23-F0AD-4F33-AE9C-7A9BDF5C7AD8}" type="pres">
      <dgm:prSet presAssocID="{AE044A4A-C999-42BB-A56D-66FDF3CD1CC4}" presName="sibTrans" presStyleCnt="0"/>
      <dgm:spPr/>
    </dgm:pt>
    <dgm:pt modelId="{29EF5858-54E6-450E-A9FF-CA58FB148851}" type="pres">
      <dgm:prSet presAssocID="{63BEF50B-C43E-45D4-B4F1-D1EBED8CA638}" presName="textNode" presStyleLbl="node1" presStyleIdx="1" presStyleCnt="4">
        <dgm:presLayoutVars>
          <dgm:bulletEnabled val="1"/>
        </dgm:presLayoutVars>
      </dgm:prSet>
      <dgm:spPr/>
      <dgm:t>
        <a:bodyPr/>
        <a:lstStyle/>
        <a:p>
          <a:endParaRPr lang="en-ZA"/>
        </a:p>
      </dgm:t>
    </dgm:pt>
    <dgm:pt modelId="{C9A67F2D-0A63-4F21-815E-23B1098D047C}" type="pres">
      <dgm:prSet presAssocID="{32122D13-ADB5-4F44-9717-28D6B0386BFA}" presName="sibTrans" presStyleCnt="0"/>
      <dgm:spPr/>
    </dgm:pt>
    <dgm:pt modelId="{CE557E88-8FD5-44C3-A176-B3A2677F8B38}" type="pres">
      <dgm:prSet presAssocID="{CF3D289B-1BEE-432C-A565-1408F801BC78}" presName="textNode" presStyleLbl="node1" presStyleIdx="2" presStyleCnt="4">
        <dgm:presLayoutVars>
          <dgm:bulletEnabled val="1"/>
        </dgm:presLayoutVars>
      </dgm:prSet>
      <dgm:spPr/>
      <dgm:t>
        <a:bodyPr/>
        <a:lstStyle/>
        <a:p>
          <a:endParaRPr lang="en-ZA"/>
        </a:p>
      </dgm:t>
    </dgm:pt>
    <dgm:pt modelId="{E06E4536-F493-4596-B501-82069FAAD474}" type="pres">
      <dgm:prSet presAssocID="{80EE78E9-10E8-4BEB-89E4-6A468FD683A1}" presName="sibTrans" presStyleCnt="0"/>
      <dgm:spPr/>
    </dgm:pt>
    <dgm:pt modelId="{37F5E3E5-6835-4899-AE87-F8627FA0C994}" type="pres">
      <dgm:prSet presAssocID="{436E2208-37A7-4744-B560-874403E9CD7E}" presName="textNode" presStyleLbl="node1" presStyleIdx="3" presStyleCnt="4">
        <dgm:presLayoutVars>
          <dgm:bulletEnabled val="1"/>
        </dgm:presLayoutVars>
      </dgm:prSet>
      <dgm:spPr/>
      <dgm:t>
        <a:bodyPr/>
        <a:lstStyle/>
        <a:p>
          <a:endParaRPr lang="en-ZA"/>
        </a:p>
      </dgm:t>
    </dgm:pt>
  </dgm:ptLst>
  <dgm:cxnLst>
    <dgm:cxn modelId="{CB51A581-BCC6-460D-83BD-1693E8702F7B}" type="presOf" srcId="{63BEF50B-C43E-45D4-B4F1-D1EBED8CA638}" destId="{29EF5858-54E6-450E-A9FF-CA58FB148851}" srcOrd="0" destOrd="0" presId="urn:microsoft.com/office/officeart/2005/8/layout/hProcess9"/>
    <dgm:cxn modelId="{0AFF1A97-01CC-4EA2-85C5-E84FF53ABA9F}" srcId="{84EB8FF0-567B-4E20-B644-45D1F4972CFA}" destId="{CF3D289B-1BEE-432C-A565-1408F801BC78}" srcOrd="2" destOrd="0" parTransId="{178A9C1B-10D0-421E-BAD9-BB2085BD1BEF}" sibTransId="{80EE78E9-10E8-4BEB-89E4-6A468FD683A1}"/>
    <dgm:cxn modelId="{DA830EB6-097F-4E4B-A3CB-A79C07AC1B51}" type="presOf" srcId="{84EB8FF0-567B-4E20-B644-45D1F4972CFA}" destId="{BC61F09F-7D68-4C24-AFA0-91CD8710561F}" srcOrd="0" destOrd="0" presId="urn:microsoft.com/office/officeart/2005/8/layout/hProcess9"/>
    <dgm:cxn modelId="{6438F968-1F45-459C-B894-11217B3BAC75}" srcId="{84EB8FF0-567B-4E20-B644-45D1F4972CFA}" destId="{1F7DC346-F05E-4C90-BA9A-C25F5CAF5EE9}" srcOrd="0" destOrd="0" parTransId="{571BF0C7-113F-435B-96AB-2F3B52168F36}" sibTransId="{AE044A4A-C999-42BB-A56D-66FDF3CD1CC4}"/>
    <dgm:cxn modelId="{F17423B5-BE81-4D9D-8126-AFE259114999}" type="presOf" srcId="{436E2208-37A7-4744-B560-874403E9CD7E}" destId="{37F5E3E5-6835-4899-AE87-F8627FA0C994}" srcOrd="0" destOrd="0" presId="urn:microsoft.com/office/officeart/2005/8/layout/hProcess9"/>
    <dgm:cxn modelId="{4775CFF1-37F3-48B3-B440-D321BAAFE05B}" srcId="{84EB8FF0-567B-4E20-B644-45D1F4972CFA}" destId="{63BEF50B-C43E-45D4-B4F1-D1EBED8CA638}" srcOrd="1" destOrd="0" parTransId="{B758625A-E6C2-4CC7-B318-8BA9DA683025}" sibTransId="{32122D13-ADB5-4F44-9717-28D6B0386BFA}"/>
    <dgm:cxn modelId="{933A2DF7-CF05-407D-947A-320573679E4C}" type="presOf" srcId="{CF3D289B-1BEE-432C-A565-1408F801BC78}" destId="{CE557E88-8FD5-44C3-A176-B3A2677F8B38}" srcOrd="0" destOrd="0" presId="urn:microsoft.com/office/officeart/2005/8/layout/hProcess9"/>
    <dgm:cxn modelId="{AB168DAE-A396-4815-A5BB-6A90371DD6F8}" srcId="{84EB8FF0-567B-4E20-B644-45D1F4972CFA}" destId="{436E2208-37A7-4744-B560-874403E9CD7E}" srcOrd="3" destOrd="0" parTransId="{A84F1431-367F-4D9B-BCB0-857A191AEECA}" sibTransId="{54D62308-BDB9-4841-B4B8-22A3E5DEBD19}"/>
    <dgm:cxn modelId="{64EC5037-1913-4A48-93F4-8C4AD354EF99}" type="presOf" srcId="{1F7DC346-F05E-4C90-BA9A-C25F5CAF5EE9}" destId="{68372468-E9C4-40A3-BC93-5A05A7B7DB9C}" srcOrd="0" destOrd="0" presId="urn:microsoft.com/office/officeart/2005/8/layout/hProcess9"/>
    <dgm:cxn modelId="{048A3F14-9839-4B47-9738-4D8A166BDB0E}" type="presParOf" srcId="{BC61F09F-7D68-4C24-AFA0-91CD8710561F}" destId="{18CB807F-05B0-4B51-B88A-D786E9AD1E53}" srcOrd="0" destOrd="0" presId="urn:microsoft.com/office/officeart/2005/8/layout/hProcess9"/>
    <dgm:cxn modelId="{FAAFE269-C72C-490C-A2D6-7E9260DB7D71}" type="presParOf" srcId="{BC61F09F-7D68-4C24-AFA0-91CD8710561F}" destId="{524113A3-C6D1-4170-9497-9F753B0A0EFF}" srcOrd="1" destOrd="0" presId="urn:microsoft.com/office/officeart/2005/8/layout/hProcess9"/>
    <dgm:cxn modelId="{79E338C7-36D9-452B-B01B-34C4390CFDB2}" type="presParOf" srcId="{524113A3-C6D1-4170-9497-9F753B0A0EFF}" destId="{68372468-E9C4-40A3-BC93-5A05A7B7DB9C}" srcOrd="0" destOrd="0" presId="urn:microsoft.com/office/officeart/2005/8/layout/hProcess9"/>
    <dgm:cxn modelId="{A840E6D7-D43D-47F6-9151-4987ADD7B59F}" type="presParOf" srcId="{524113A3-C6D1-4170-9497-9F753B0A0EFF}" destId="{F6D64D23-F0AD-4F33-AE9C-7A9BDF5C7AD8}" srcOrd="1" destOrd="0" presId="urn:microsoft.com/office/officeart/2005/8/layout/hProcess9"/>
    <dgm:cxn modelId="{FFD04538-4A6B-4571-9C87-8393ED2A9FA5}" type="presParOf" srcId="{524113A3-C6D1-4170-9497-9F753B0A0EFF}" destId="{29EF5858-54E6-450E-A9FF-CA58FB148851}" srcOrd="2" destOrd="0" presId="urn:microsoft.com/office/officeart/2005/8/layout/hProcess9"/>
    <dgm:cxn modelId="{D53C6300-6B71-40C0-A417-16CCD73B248C}" type="presParOf" srcId="{524113A3-C6D1-4170-9497-9F753B0A0EFF}" destId="{C9A67F2D-0A63-4F21-815E-23B1098D047C}" srcOrd="3" destOrd="0" presId="urn:microsoft.com/office/officeart/2005/8/layout/hProcess9"/>
    <dgm:cxn modelId="{D0155A8D-7CD7-4AF3-854E-A4550364F00A}" type="presParOf" srcId="{524113A3-C6D1-4170-9497-9F753B0A0EFF}" destId="{CE557E88-8FD5-44C3-A176-B3A2677F8B38}" srcOrd="4" destOrd="0" presId="urn:microsoft.com/office/officeart/2005/8/layout/hProcess9"/>
    <dgm:cxn modelId="{BC15EB13-29AD-45AF-A99E-A016D295E1C7}" type="presParOf" srcId="{524113A3-C6D1-4170-9497-9F753B0A0EFF}" destId="{E06E4536-F493-4596-B501-82069FAAD474}" srcOrd="5" destOrd="0" presId="urn:microsoft.com/office/officeart/2005/8/layout/hProcess9"/>
    <dgm:cxn modelId="{7CF20116-8278-4A2C-87C6-CCD15B055944}" type="presParOf" srcId="{524113A3-C6D1-4170-9497-9F753B0A0EFF}" destId="{37F5E3E5-6835-4899-AE87-F8627FA0C994}" srcOrd="6" destOrd="0" presId="urn:microsoft.com/office/officeart/2005/8/layout/hProcess9"/>
  </dgm:cxnLst>
  <dgm:bg/>
  <dgm:whole>
    <a:ln>
      <a:solidFill>
        <a:srgbClr val="C00000"/>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1CEF2B-C414-45C4-8BC9-7218D79F5CDD}"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endParaRPr lang="en-US"/>
        </a:p>
      </dgm:t>
    </dgm:pt>
    <dgm:pt modelId="{1D244879-BC43-4B9F-AA2F-CD8012D45F63}">
      <dgm:prSet phldrT="[Text]" custT="1"/>
      <dgm:spPr/>
      <dgm:t>
        <a:bodyPr/>
        <a:lstStyle/>
        <a:p>
          <a:r>
            <a:rPr lang="en-US" sz="1000" dirty="0"/>
            <a:t>Off Balance Sheet items</a:t>
          </a:r>
        </a:p>
      </dgm:t>
    </dgm:pt>
    <dgm:pt modelId="{7187AA44-315A-49C0-BE2A-C3550CD15C01}" type="parTrans" cxnId="{6888AF03-B825-4302-89B3-D3DB8FAF2F2E}">
      <dgm:prSet/>
      <dgm:spPr/>
      <dgm:t>
        <a:bodyPr/>
        <a:lstStyle/>
        <a:p>
          <a:endParaRPr lang="en-US" sz="1000"/>
        </a:p>
      </dgm:t>
    </dgm:pt>
    <dgm:pt modelId="{23B85C16-571F-40A3-A5BE-62D0363DEC2C}" type="sibTrans" cxnId="{6888AF03-B825-4302-89B3-D3DB8FAF2F2E}">
      <dgm:prSet/>
      <dgm:spPr/>
      <dgm:t>
        <a:bodyPr/>
        <a:lstStyle/>
        <a:p>
          <a:endParaRPr lang="en-US" sz="1000"/>
        </a:p>
      </dgm:t>
    </dgm:pt>
    <dgm:pt modelId="{9FCE6A1E-0A68-4740-B1C9-E2FD109B79DC}">
      <dgm:prSet phldrT="[Text]" custT="1"/>
      <dgm:spPr/>
      <dgm:t>
        <a:bodyPr/>
        <a:lstStyle/>
        <a:p>
          <a:r>
            <a:rPr lang="en-US" sz="1000" dirty="0"/>
            <a:t>Joint Ventures</a:t>
          </a:r>
        </a:p>
      </dgm:t>
    </dgm:pt>
    <dgm:pt modelId="{AAA3484C-D76B-4362-8FFB-CD8B8062D155}" type="parTrans" cxnId="{6C9C848A-4A51-4617-B64A-7DA6B8A2E6AE}">
      <dgm:prSet/>
      <dgm:spPr/>
      <dgm:t>
        <a:bodyPr/>
        <a:lstStyle/>
        <a:p>
          <a:endParaRPr lang="en-US" sz="1000"/>
        </a:p>
      </dgm:t>
    </dgm:pt>
    <dgm:pt modelId="{D9970D6C-B925-445F-9698-6ECD3E077396}" type="sibTrans" cxnId="{6C9C848A-4A51-4617-B64A-7DA6B8A2E6AE}">
      <dgm:prSet/>
      <dgm:spPr/>
      <dgm:t>
        <a:bodyPr/>
        <a:lstStyle/>
        <a:p>
          <a:endParaRPr lang="en-US" sz="1000"/>
        </a:p>
      </dgm:t>
    </dgm:pt>
    <dgm:pt modelId="{AC1A0CD7-19AF-43B1-9BA8-2B649EAC6283}">
      <dgm:prSet phldrT="[Text]" custT="1"/>
      <dgm:spPr/>
      <dgm:t>
        <a:bodyPr/>
        <a:lstStyle/>
        <a:p>
          <a:r>
            <a:rPr lang="en-US" sz="900" dirty="0"/>
            <a:t>Derivatives</a:t>
          </a:r>
        </a:p>
      </dgm:t>
    </dgm:pt>
    <dgm:pt modelId="{1D52F130-7E37-49C9-B77E-3378A62F4FA6}" type="parTrans" cxnId="{53222FF8-17AC-452E-B5AA-7BA1AADF6BBC}">
      <dgm:prSet/>
      <dgm:spPr/>
      <dgm:t>
        <a:bodyPr/>
        <a:lstStyle/>
        <a:p>
          <a:endParaRPr lang="en-US" sz="1000"/>
        </a:p>
      </dgm:t>
    </dgm:pt>
    <dgm:pt modelId="{7C5A015C-6B1E-4635-89C8-BB4C54DA6B74}" type="sibTrans" cxnId="{53222FF8-17AC-452E-B5AA-7BA1AADF6BBC}">
      <dgm:prSet/>
      <dgm:spPr/>
      <dgm:t>
        <a:bodyPr/>
        <a:lstStyle/>
        <a:p>
          <a:endParaRPr lang="en-US" sz="1000"/>
        </a:p>
      </dgm:t>
    </dgm:pt>
    <dgm:pt modelId="{9018653A-FD91-432D-8303-CFC5BF103BB1}">
      <dgm:prSet phldrT="[Text]" custT="1"/>
      <dgm:spPr/>
      <dgm:t>
        <a:bodyPr/>
        <a:lstStyle/>
        <a:p>
          <a:r>
            <a:rPr lang="en-US" sz="900" dirty="0"/>
            <a:t>Partnerships</a:t>
          </a:r>
        </a:p>
      </dgm:t>
    </dgm:pt>
    <dgm:pt modelId="{F622DE5A-40D9-4A3D-9344-C9402FC5050D}" type="parTrans" cxnId="{BB460727-0A0D-48AA-A48E-339578CA2F37}">
      <dgm:prSet/>
      <dgm:spPr/>
      <dgm:t>
        <a:bodyPr/>
        <a:lstStyle/>
        <a:p>
          <a:endParaRPr lang="en-US" sz="1000"/>
        </a:p>
      </dgm:t>
    </dgm:pt>
    <dgm:pt modelId="{0C0620F7-9773-49DF-BD65-6718D251D914}" type="sibTrans" cxnId="{BB460727-0A0D-48AA-A48E-339578CA2F37}">
      <dgm:prSet/>
      <dgm:spPr/>
      <dgm:t>
        <a:bodyPr/>
        <a:lstStyle/>
        <a:p>
          <a:endParaRPr lang="en-US" sz="1000"/>
        </a:p>
      </dgm:t>
    </dgm:pt>
    <dgm:pt modelId="{C624AECE-4CCE-497A-82CF-DBD4B6B00F65}">
      <dgm:prSet phldrT="[Text]" custT="1"/>
      <dgm:spPr/>
      <dgm:t>
        <a:bodyPr/>
        <a:lstStyle/>
        <a:p>
          <a:r>
            <a:rPr lang="en-US" sz="1000" dirty="0"/>
            <a:t>Operational leases</a:t>
          </a:r>
        </a:p>
      </dgm:t>
    </dgm:pt>
    <dgm:pt modelId="{85634B7E-51AE-44FB-9B70-4DC660269573}" type="parTrans" cxnId="{E01E931F-027F-4594-BF14-1E2ACBEA36EA}">
      <dgm:prSet/>
      <dgm:spPr/>
      <dgm:t>
        <a:bodyPr/>
        <a:lstStyle/>
        <a:p>
          <a:endParaRPr lang="en-US" sz="1000"/>
        </a:p>
      </dgm:t>
    </dgm:pt>
    <dgm:pt modelId="{5763B492-0291-468A-B192-7DC27C4C01D0}" type="sibTrans" cxnId="{E01E931F-027F-4594-BF14-1E2ACBEA36EA}">
      <dgm:prSet/>
      <dgm:spPr/>
      <dgm:t>
        <a:bodyPr/>
        <a:lstStyle/>
        <a:p>
          <a:endParaRPr lang="en-US" sz="1000"/>
        </a:p>
      </dgm:t>
    </dgm:pt>
    <dgm:pt modelId="{12621020-4FAF-48F3-9966-9E41DEF1FD5D}">
      <dgm:prSet phldrT="[Text]" custT="1"/>
      <dgm:spPr/>
      <dgm:t>
        <a:bodyPr/>
        <a:lstStyle/>
        <a:p>
          <a:r>
            <a:rPr lang="en-US" sz="1000" dirty="0"/>
            <a:t>Sale of receivables</a:t>
          </a:r>
        </a:p>
      </dgm:t>
    </dgm:pt>
    <dgm:pt modelId="{4B64573D-E20E-47F0-950F-981DD33B6F85}" type="parTrans" cxnId="{2AAB8C49-47FD-4360-9BBF-97AC45B381F0}">
      <dgm:prSet/>
      <dgm:spPr/>
      <dgm:t>
        <a:bodyPr/>
        <a:lstStyle/>
        <a:p>
          <a:endParaRPr lang="en-US" sz="1000"/>
        </a:p>
      </dgm:t>
    </dgm:pt>
    <dgm:pt modelId="{FF2D5BC8-9A60-49FC-9022-5C9BE081B0E1}" type="sibTrans" cxnId="{2AAB8C49-47FD-4360-9BBF-97AC45B381F0}">
      <dgm:prSet/>
      <dgm:spPr/>
      <dgm:t>
        <a:bodyPr/>
        <a:lstStyle/>
        <a:p>
          <a:endParaRPr lang="en-US" sz="1000"/>
        </a:p>
      </dgm:t>
    </dgm:pt>
    <dgm:pt modelId="{9272C4CB-566E-4A28-A974-9AC0F95A2BDC}">
      <dgm:prSet phldrT="[Text]" custT="1"/>
      <dgm:spPr/>
      <dgm:t>
        <a:bodyPr/>
        <a:lstStyle/>
        <a:p>
          <a:r>
            <a:rPr lang="en-US" sz="1000" dirty="0"/>
            <a:t>Securities</a:t>
          </a:r>
        </a:p>
      </dgm:t>
    </dgm:pt>
    <dgm:pt modelId="{5CD236C4-F5D6-4262-8888-5ED7549FE5A4}" type="parTrans" cxnId="{1F7B8103-6DD9-436A-B280-8F0C9B65BCB8}">
      <dgm:prSet/>
      <dgm:spPr/>
      <dgm:t>
        <a:bodyPr/>
        <a:lstStyle/>
        <a:p>
          <a:endParaRPr lang="en-US" sz="1000"/>
        </a:p>
      </dgm:t>
    </dgm:pt>
    <dgm:pt modelId="{9671E23B-945C-4C43-A798-753EC3F65083}" type="sibTrans" cxnId="{1F7B8103-6DD9-436A-B280-8F0C9B65BCB8}">
      <dgm:prSet/>
      <dgm:spPr/>
      <dgm:t>
        <a:bodyPr/>
        <a:lstStyle/>
        <a:p>
          <a:endParaRPr lang="en-US" sz="1000"/>
        </a:p>
      </dgm:t>
    </dgm:pt>
    <dgm:pt modelId="{5134B643-7FF9-405D-9C4A-9CD98D65C21B}">
      <dgm:prSet phldrT="[Text]" custT="1"/>
      <dgm:spPr/>
      <dgm:t>
        <a:bodyPr/>
        <a:lstStyle/>
        <a:p>
          <a:r>
            <a:rPr lang="en-US" sz="1000" dirty="0"/>
            <a:t>Special purpose entities</a:t>
          </a:r>
        </a:p>
      </dgm:t>
    </dgm:pt>
    <dgm:pt modelId="{1139A8E4-875C-47D7-8A83-FFB1A3E42A29}" type="parTrans" cxnId="{BD3E548E-D677-4B0C-89A5-68622494231F}">
      <dgm:prSet/>
      <dgm:spPr/>
      <dgm:t>
        <a:bodyPr/>
        <a:lstStyle/>
        <a:p>
          <a:endParaRPr lang="en-US" sz="1000"/>
        </a:p>
      </dgm:t>
    </dgm:pt>
    <dgm:pt modelId="{EE8696F1-53E2-4ED4-8C2A-101A80454148}" type="sibTrans" cxnId="{BD3E548E-D677-4B0C-89A5-68622494231F}">
      <dgm:prSet/>
      <dgm:spPr/>
      <dgm:t>
        <a:bodyPr/>
        <a:lstStyle/>
        <a:p>
          <a:endParaRPr lang="en-US" sz="1000"/>
        </a:p>
      </dgm:t>
    </dgm:pt>
    <dgm:pt modelId="{6EEE0806-771D-49DD-9216-6CAAC8E3F2D8}" type="pres">
      <dgm:prSet presAssocID="{441CEF2B-C414-45C4-8BC9-7218D79F5CDD}" presName="Name0" presStyleCnt="0">
        <dgm:presLayoutVars>
          <dgm:chMax val="1"/>
          <dgm:dir/>
          <dgm:animLvl val="ctr"/>
          <dgm:resizeHandles val="exact"/>
        </dgm:presLayoutVars>
      </dgm:prSet>
      <dgm:spPr/>
      <dgm:t>
        <a:bodyPr/>
        <a:lstStyle/>
        <a:p>
          <a:endParaRPr lang="en-ZA"/>
        </a:p>
      </dgm:t>
    </dgm:pt>
    <dgm:pt modelId="{5E1064DD-425C-48DC-9A13-24F2E445C241}" type="pres">
      <dgm:prSet presAssocID="{1D244879-BC43-4B9F-AA2F-CD8012D45F63}" presName="centerShape" presStyleLbl="node0" presStyleIdx="0" presStyleCnt="1"/>
      <dgm:spPr/>
      <dgm:t>
        <a:bodyPr/>
        <a:lstStyle/>
        <a:p>
          <a:endParaRPr lang="en-ZA"/>
        </a:p>
      </dgm:t>
    </dgm:pt>
    <dgm:pt modelId="{9DE9AA15-3DEF-4A50-9D05-064D220AF17E}" type="pres">
      <dgm:prSet presAssocID="{9FCE6A1E-0A68-4740-B1C9-E2FD109B79DC}" presName="node" presStyleLbl="node1" presStyleIdx="0" presStyleCnt="7" custScaleX="150105">
        <dgm:presLayoutVars>
          <dgm:bulletEnabled val="1"/>
        </dgm:presLayoutVars>
      </dgm:prSet>
      <dgm:spPr/>
      <dgm:t>
        <a:bodyPr/>
        <a:lstStyle/>
        <a:p>
          <a:endParaRPr lang="en-ZA"/>
        </a:p>
      </dgm:t>
    </dgm:pt>
    <dgm:pt modelId="{FBFC0E1A-E20A-4BA8-BEA9-7653F94ED636}" type="pres">
      <dgm:prSet presAssocID="{9FCE6A1E-0A68-4740-B1C9-E2FD109B79DC}" presName="dummy" presStyleCnt="0"/>
      <dgm:spPr/>
    </dgm:pt>
    <dgm:pt modelId="{39724440-E3F4-4134-AB1F-BD4F35D20652}" type="pres">
      <dgm:prSet presAssocID="{D9970D6C-B925-445F-9698-6ECD3E077396}" presName="sibTrans" presStyleLbl="sibTrans2D1" presStyleIdx="0" presStyleCnt="7"/>
      <dgm:spPr/>
      <dgm:t>
        <a:bodyPr/>
        <a:lstStyle/>
        <a:p>
          <a:endParaRPr lang="en-ZA"/>
        </a:p>
      </dgm:t>
    </dgm:pt>
    <dgm:pt modelId="{E0B8C3D1-A869-44FB-B748-FAE6C9657968}" type="pres">
      <dgm:prSet presAssocID="{AC1A0CD7-19AF-43B1-9BA8-2B649EAC6283}" presName="node" presStyleLbl="node1" presStyleIdx="1" presStyleCnt="7" custScaleX="115237">
        <dgm:presLayoutVars>
          <dgm:bulletEnabled val="1"/>
        </dgm:presLayoutVars>
      </dgm:prSet>
      <dgm:spPr/>
      <dgm:t>
        <a:bodyPr/>
        <a:lstStyle/>
        <a:p>
          <a:endParaRPr lang="en-ZA"/>
        </a:p>
      </dgm:t>
    </dgm:pt>
    <dgm:pt modelId="{CDF715FE-4901-4492-B8A8-A87CB1CA3A1C}" type="pres">
      <dgm:prSet presAssocID="{AC1A0CD7-19AF-43B1-9BA8-2B649EAC6283}" presName="dummy" presStyleCnt="0"/>
      <dgm:spPr/>
    </dgm:pt>
    <dgm:pt modelId="{84E90409-CE60-4F8E-9EC7-6CC28743EB56}" type="pres">
      <dgm:prSet presAssocID="{7C5A015C-6B1E-4635-89C8-BB4C54DA6B74}" presName="sibTrans" presStyleLbl="sibTrans2D1" presStyleIdx="1" presStyleCnt="7"/>
      <dgm:spPr/>
      <dgm:t>
        <a:bodyPr/>
        <a:lstStyle/>
        <a:p>
          <a:endParaRPr lang="en-ZA"/>
        </a:p>
      </dgm:t>
    </dgm:pt>
    <dgm:pt modelId="{6AFCD277-1728-42D4-83AF-B5F45B7041EA}" type="pres">
      <dgm:prSet presAssocID="{9018653A-FD91-432D-8303-CFC5BF103BB1}" presName="node" presStyleLbl="node1" presStyleIdx="2" presStyleCnt="7" custScaleX="121325">
        <dgm:presLayoutVars>
          <dgm:bulletEnabled val="1"/>
        </dgm:presLayoutVars>
      </dgm:prSet>
      <dgm:spPr/>
      <dgm:t>
        <a:bodyPr/>
        <a:lstStyle/>
        <a:p>
          <a:endParaRPr lang="en-ZA"/>
        </a:p>
      </dgm:t>
    </dgm:pt>
    <dgm:pt modelId="{78F91B8D-EF00-44C5-94DB-23253E750A68}" type="pres">
      <dgm:prSet presAssocID="{9018653A-FD91-432D-8303-CFC5BF103BB1}" presName="dummy" presStyleCnt="0"/>
      <dgm:spPr/>
    </dgm:pt>
    <dgm:pt modelId="{920D8751-E79A-434D-AE93-91BB97BD03A9}" type="pres">
      <dgm:prSet presAssocID="{0C0620F7-9773-49DF-BD65-6718D251D914}" presName="sibTrans" presStyleLbl="sibTrans2D1" presStyleIdx="2" presStyleCnt="7"/>
      <dgm:spPr/>
      <dgm:t>
        <a:bodyPr/>
        <a:lstStyle/>
        <a:p>
          <a:endParaRPr lang="en-ZA"/>
        </a:p>
      </dgm:t>
    </dgm:pt>
    <dgm:pt modelId="{BB1B1884-9466-40FD-A33B-9483424B303D}" type="pres">
      <dgm:prSet presAssocID="{C624AECE-4CCE-497A-82CF-DBD4B6B00F65}" presName="node" presStyleLbl="node1" presStyleIdx="3" presStyleCnt="7" custScaleX="126932">
        <dgm:presLayoutVars>
          <dgm:bulletEnabled val="1"/>
        </dgm:presLayoutVars>
      </dgm:prSet>
      <dgm:spPr/>
      <dgm:t>
        <a:bodyPr/>
        <a:lstStyle/>
        <a:p>
          <a:endParaRPr lang="en-ZA"/>
        </a:p>
      </dgm:t>
    </dgm:pt>
    <dgm:pt modelId="{C6DDD920-D3E4-463B-AB74-D75A51A0F9FA}" type="pres">
      <dgm:prSet presAssocID="{C624AECE-4CCE-497A-82CF-DBD4B6B00F65}" presName="dummy" presStyleCnt="0"/>
      <dgm:spPr/>
    </dgm:pt>
    <dgm:pt modelId="{F885C155-F581-43F6-86EE-FE5FE2DE2210}" type="pres">
      <dgm:prSet presAssocID="{5763B492-0291-468A-B192-7DC27C4C01D0}" presName="sibTrans" presStyleLbl="sibTrans2D1" presStyleIdx="3" presStyleCnt="7"/>
      <dgm:spPr/>
      <dgm:t>
        <a:bodyPr/>
        <a:lstStyle/>
        <a:p>
          <a:endParaRPr lang="en-ZA"/>
        </a:p>
      </dgm:t>
    </dgm:pt>
    <dgm:pt modelId="{72038C6D-FFE5-40D5-998D-AA102E6442EE}" type="pres">
      <dgm:prSet presAssocID="{12621020-4FAF-48F3-9966-9E41DEF1FD5D}" presName="node" presStyleLbl="node1" presStyleIdx="4" presStyleCnt="7" custScaleX="121198">
        <dgm:presLayoutVars>
          <dgm:bulletEnabled val="1"/>
        </dgm:presLayoutVars>
      </dgm:prSet>
      <dgm:spPr/>
      <dgm:t>
        <a:bodyPr/>
        <a:lstStyle/>
        <a:p>
          <a:endParaRPr lang="en-ZA"/>
        </a:p>
      </dgm:t>
    </dgm:pt>
    <dgm:pt modelId="{045842A7-DD41-4232-866D-12F35B6370EB}" type="pres">
      <dgm:prSet presAssocID="{12621020-4FAF-48F3-9966-9E41DEF1FD5D}" presName="dummy" presStyleCnt="0"/>
      <dgm:spPr/>
    </dgm:pt>
    <dgm:pt modelId="{56D3EAB7-CFC1-40D6-950F-2B62C8B96E15}" type="pres">
      <dgm:prSet presAssocID="{FF2D5BC8-9A60-49FC-9022-5C9BE081B0E1}" presName="sibTrans" presStyleLbl="sibTrans2D1" presStyleIdx="4" presStyleCnt="7"/>
      <dgm:spPr/>
      <dgm:t>
        <a:bodyPr/>
        <a:lstStyle/>
        <a:p>
          <a:endParaRPr lang="en-ZA"/>
        </a:p>
      </dgm:t>
    </dgm:pt>
    <dgm:pt modelId="{C67BD8B4-A311-4A8D-9806-039E120EA018}" type="pres">
      <dgm:prSet presAssocID="{9272C4CB-566E-4A28-A974-9AC0F95A2BDC}" presName="node" presStyleLbl="node1" presStyleIdx="5" presStyleCnt="7" custScaleX="133553">
        <dgm:presLayoutVars>
          <dgm:bulletEnabled val="1"/>
        </dgm:presLayoutVars>
      </dgm:prSet>
      <dgm:spPr/>
      <dgm:t>
        <a:bodyPr/>
        <a:lstStyle/>
        <a:p>
          <a:endParaRPr lang="en-ZA"/>
        </a:p>
      </dgm:t>
    </dgm:pt>
    <dgm:pt modelId="{23CEAE95-323F-4041-A486-F10849C85C73}" type="pres">
      <dgm:prSet presAssocID="{9272C4CB-566E-4A28-A974-9AC0F95A2BDC}" presName="dummy" presStyleCnt="0"/>
      <dgm:spPr/>
    </dgm:pt>
    <dgm:pt modelId="{9728355A-5ABD-476F-AFAF-465645F2E3B2}" type="pres">
      <dgm:prSet presAssocID="{9671E23B-945C-4C43-A798-753EC3F65083}" presName="sibTrans" presStyleLbl="sibTrans2D1" presStyleIdx="5" presStyleCnt="7"/>
      <dgm:spPr/>
      <dgm:t>
        <a:bodyPr/>
        <a:lstStyle/>
        <a:p>
          <a:endParaRPr lang="en-ZA"/>
        </a:p>
      </dgm:t>
    </dgm:pt>
    <dgm:pt modelId="{6CAC1210-6F0A-4286-8E3C-D7F7A5663C89}" type="pres">
      <dgm:prSet presAssocID="{5134B643-7FF9-405D-9C4A-9CD98D65C21B}" presName="node" presStyleLbl="node1" presStyleIdx="6" presStyleCnt="7" custScaleX="149975">
        <dgm:presLayoutVars>
          <dgm:bulletEnabled val="1"/>
        </dgm:presLayoutVars>
      </dgm:prSet>
      <dgm:spPr/>
      <dgm:t>
        <a:bodyPr/>
        <a:lstStyle/>
        <a:p>
          <a:endParaRPr lang="en-ZA"/>
        </a:p>
      </dgm:t>
    </dgm:pt>
    <dgm:pt modelId="{3CB2B29F-6277-4B56-B1A7-B85CA2C5E48B}" type="pres">
      <dgm:prSet presAssocID="{5134B643-7FF9-405D-9C4A-9CD98D65C21B}" presName="dummy" presStyleCnt="0"/>
      <dgm:spPr/>
    </dgm:pt>
    <dgm:pt modelId="{C4AA1AB5-4095-4935-AC1A-971740E03896}" type="pres">
      <dgm:prSet presAssocID="{EE8696F1-53E2-4ED4-8C2A-101A80454148}" presName="sibTrans" presStyleLbl="sibTrans2D1" presStyleIdx="6" presStyleCnt="7"/>
      <dgm:spPr/>
      <dgm:t>
        <a:bodyPr/>
        <a:lstStyle/>
        <a:p>
          <a:endParaRPr lang="en-ZA"/>
        </a:p>
      </dgm:t>
    </dgm:pt>
  </dgm:ptLst>
  <dgm:cxnLst>
    <dgm:cxn modelId="{B77FBF6F-B08A-47BF-BC0E-101F9AAAFA0F}" type="presOf" srcId="{EE8696F1-53E2-4ED4-8C2A-101A80454148}" destId="{C4AA1AB5-4095-4935-AC1A-971740E03896}" srcOrd="0" destOrd="0" presId="urn:microsoft.com/office/officeart/2005/8/layout/radial6"/>
    <dgm:cxn modelId="{B1ADA796-9CC0-4603-AE3F-3CCC686B83CF}" type="presOf" srcId="{C624AECE-4CCE-497A-82CF-DBD4B6B00F65}" destId="{BB1B1884-9466-40FD-A33B-9483424B303D}" srcOrd="0" destOrd="0" presId="urn:microsoft.com/office/officeart/2005/8/layout/radial6"/>
    <dgm:cxn modelId="{22396274-F886-4046-9D8E-4D681283BCAC}" type="presOf" srcId="{1D244879-BC43-4B9F-AA2F-CD8012D45F63}" destId="{5E1064DD-425C-48DC-9A13-24F2E445C241}" srcOrd="0" destOrd="0" presId="urn:microsoft.com/office/officeart/2005/8/layout/radial6"/>
    <dgm:cxn modelId="{53222FF8-17AC-452E-B5AA-7BA1AADF6BBC}" srcId="{1D244879-BC43-4B9F-AA2F-CD8012D45F63}" destId="{AC1A0CD7-19AF-43B1-9BA8-2B649EAC6283}" srcOrd="1" destOrd="0" parTransId="{1D52F130-7E37-49C9-B77E-3378A62F4FA6}" sibTransId="{7C5A015C-6B1E-4635-89C8-BB4C54DA6B74}"/>
    <dgm:cxn modelId="{7F984FE4-3ABE-40E6-8F57-9766784FF6E9}" type="presOf" srcId="{9018653A-FD91-432D-8303-CFC5BF103BB1}" destId="{6AFCD277-1728-42D4-83AF-B5F45B7041EA}" srcOrd="0" destOrd="0" presId="urn:microsoft.com/office/officeart/2005/8/layout/radial6"/>
    <dgm:cxn modelId="{41A65E9B-1CFD-48D5-9BB5-07F39A23E767}" type="presOf" srcId="{441CEF2B-C414-45C4-8BC9-7218D79F5CDD}" destId="{6EEE0806-771D-49DD-9216-6CAAC8E3F2D8}" srcOrd="0" destOrd="0" presId="urn:microsoft.com/office/officeart/2005/8/layout/radial6"/>
    <dgm:cxn modelId="{AAD953D1-1C10-4C80-B610-CA2203C8F00E}" type="presOf" srcId="{0C0620F7-9773-49DF-BD65-6718D251D914}" destId="{920D8751-E79A-434D-AE93-91BB97BD03A9}" srcOrd="0" destOrd="0" presId="urn:microsoft.com/office/officeart/2005/8/layout/radial6"/>
    <dgm:cxn modelId="{4F7AAABB-E0C0-438D-8208-A3DAEAB994FE}" type="presOf" srcId="{AC1A0CD7-19AF-43B1-9BA8-2B649EAC6283}" destId="{E0B8C3D1-A869-44FB-B748-FAE6C9657968}" srcOrd="0" destOrd="0" presId="urn:microsoft.com/office/officeart/2005/8/layout/radial6"/>
    <dgm:cxn modelId="{2AAB8C49-47FD-4360-9BBF-97AC45B381F0}" srcId="{1D244879-BC43-4B9F-AA2F-CD8012D45F63}" destId="{12621020-4FAF-48F3-9966-9E41DEF1FD5D}" srcOrd="4" destOrd="0" parTransId="{4B64573D-E20E-47F0-950F-981DD33B6F85}" sibTransId="{FF2D5BC8-9A60-49FC-9022-5C9BE081B0E1}"/>
    <dgm:cxn modelId="{63B14487-EA57-4690-BF2A-2CC98D470EDE}" type="presOf" srcId="{5763B492-0291-468A-B192-7DC27C4C01D0}" destId="{F885C155-F581-43F6-86EE-FE5FE2DE2210}" srcOrd="0" destOrd="0" presId="urn:microsoft.com/office/officeart/2005/8/layout/radial6"/>
    <dgm:cxn modelId="{A910809E-A685-42D8-B7B7-AD08C97700F6}" type="presOf" srcId="{9272C4CB-566E-4A28-A974-9AC0F95A2BDC}" destId="{C67BD8B4-A311-4A8D-9806-039E120EA018}" srcOrd="0" destOrd="0" presId="urn:microsoft.com/office/officeart/2005/8/layout/radial6"/>
    <dgm:cxn modelId="{BB460727-0A0D-48AA-A48E-339578CA2F37}" srcId="{1D244879-BC43-4B9F-AA2F-CD8012D45F63}" destId="{9018653A-FD91-432D-8303-CFC5BF103BB1}" srcOrd="2" destOrd="0" parTransId="{F622DE5A-40D9-4A3D-9344-C9402FC5050D}" sibTransId="{0C0620F7-9773-49DF-BD65-6718D251D914}"/>
    <dgm:cxn modelId="{4B4BC0CB-7119-4594-B2E5-929DE178D487}" type="presOf" srcId="{5134B643-7FF9-405D-9C4A-9CD98D65C21B}" destId="{6CAC1210-6F0A-4286-8E3C-D7F7A5663C89}" srcOrd="0" destOrd="0" presId="urn:microsoft.com/office/officeart/2005/8/layout/radial6"/>
    <dgm:cxn modelId="{59E0A0B5-6833-4516-9537-ECC085C5A25E}" type="presOf" srcId="{FF2D5BC8-9A60-49FC-9022-5C9BE081B0E1}" destId="{56D3EAB7-CFC1-40D6-950F-2B62C8B96E15}" srcOrd="0" destOrd="0" presId="urn:microsoft.com/office/officeart/2005/8/layout/radial6"/>
    <dgm:cxn modelId="{1F7B8103-6DD9-436A-B280-8F0C9B65BCB8}" srcId="{1D244879-BC43-4B9F-AA2F-CD8012D45F63}" destId="{9272C4CB-566E-4A28-A974-9AC0F95A2BDC}" srcOrd="5" destOrd="0" parTransId="{5CD236C4-F5D6-4262-8888-5ED7549FE5A4}" sibTransId="{9671E23B-945C-4C43-A798-753EC3F65083}"/>
    <dgm:cxn modelId="{9E649FDD-7067-4665-A81A-E87A93E48159}" type="presOf" srcId="{9FCE6A1E-0A68-4740-B1C9-E2FD109B79DC}" destId="{9DE9AA15-3DEF-4A50-9D05-064D220AF17E}" srcOrd="0" destOrd="0" presId="urn:microsoft.com/office/officeart/2005/8/layout/radial6"/>
    <dgm:cxn modelId="{6C9C848A-4A51-4617-B64A-7DA6B8A2E6AE}" srcId="{1D244879-BC43-4B9F-AA2F-CD8012D45F63}" destId="{9FCE6A1E-0A68-4740-B1C9-E2FD109B79DC}" srcOrd="0" destOrd="0" parTransId="{AAA3484C-D76B-4362-8FFB-CD8B8062D155}" sibTransId="{D9970D6C-B925-445F-9698-6ECD3E077396}"/>
    <dgm:cxn modelId="{E01E931F-027F-4594-BF14-1E2ACBEA36EA}" srcId="{1D244879-BC43-4B9F-AA2F-CD8012D45F63}" destId="{C624AECE-4CCE-497A-82CF-DBD4B6B00F65}" srcOrd="3" destOrd="0" parTransId="{85634B7E-51AE-44FB-9B70-4DC660269573}" sibTransId="{5763B492-0291-468A-B192-7DC27C4C01D0}"/>
    <dgm:cxn modelId="{6888AF03-B825-4302-89B3-D3DB8FAF2F2E}" srcId="{441CEF2B-C414-45C4-8BC9-7218D79F5CDD}" destId="{1D244879-BC43-4B9F-AA2F-CD8012D45F63}" srcOrd="0" destOrd="0" parTransId="{7187AA44-315A-49C0-BE2A-C3550CD15C01}" sibTransId="{23B85C16-571F-40A3-A5BE-62D0363DEC2C}"/>
    <dgm:cxn modelId="{17B012BE-1F42-45A2-A877-53C244EFEE99}" type="presOf" srcId="{12621020-4FAF-48F3-9966-9E41DEF1FD5D}" destId="{72038C6D-FFE5-40D5-998D-AA102E6442EE}" srcOrd="0" destOrd="0" presId="urn:microsoft.com/office/officeart/2005/8/layout/radial6"/>
    <dgm:cxn modelId="{B8FCA927-8188-4B36-9ABD-104960BFD103}" type="presOf" srcId="{D9970D6C-B925-445F-9698-6ECD3E077396}" destId="{39724440-E3F4-4134-AB1F-BD4F35D20652}" srcOrd="0" destOrd="0" presId="urn:microsoft.com/office/officeart/2005/8/layout/radial6"/>
    <dgm:cxn modelId="{2DEA2BE2-38D9-4632-A510-BD861A2D5BE9}" type="presOf" srcId="{9671E23B-945C-4C43-A798-753EC3F65083}" destId="{9728355A-5ABD-476F-AFAF-465645F2E3B2}" srcOrd="0" destOrd="0" presId="urn:microsoft.com/office/officeart/2005/8/layout/radial6"/>
    <dgm:cxn modelId="{BD3E548E-D677-4B0C-89A5-68622494231F}" srcId="{1D244879-BC43-4B9F-AA2F-CD8012D45F63}" destId="{5134B643-7FF9-405D-9C4A-9CD98D65C21B}" srcOrd="6" destOrd="0" parTransId="{1139A8E4-875C-47D7-8A83-FFB1A3E42A29}" sibTransId="{EE8696F1-53E2-4ED4-8C2A-101A80454148}"/>
    <dgm:cxn modelId="{A4144A14-FB8D-482A-A943-727EB470E334}" type="presOf" srcId="{7C5A015C-6B1E-4635-89C8-BB4C54DA6B74}" destId="{84E90409-CE60-4F8E-9EC7-6CC28743EB56}" srcOrd="0" destOrd="0" presId="urn:microsoft.com/office/officeart/2005/8/layout/radial6"/>
    <dgm:cxn modelId="{D05C2459-2153-4E92-BF2E-FFEF5C88484F}" type="presParOf" srcId="{6EEE0806-771D-49DD-9216-6CAAC8E3F2D8}" destId="{5E1064DD-425C-48DC-9A13-24F2E445C241}" srcOrd="0" destOrd="0" presId="urn:microsoft.com/office/officeart/2005/8/layout/radial6"/>
    <dgm:cxn modelId="{D86301B1-A3FB-4514-8540-95D383098678}" type="presParOf" srcId="{6EEE0806-771D-49DD-9216-6CAAC8E3F2D8}" destId="{9DE9AA15-3DEF-4A50-9D05-064D220AF17E}" srcOrd="1" destOrd="0" presId="urn:microsoft.com/office/officeart/2005/8/layout/radial6"/>
    <dgm:cxn modelId="{FD72ECC2-89DE-4B14-BA80-E21AAA95DA21}" type="presParOf" srcId="{6EEE0806-771D-49DD-9216-6CAAC8E3F2D8}" destId="{FBFC0E1A-E20A-4BA8-BEA9-7653F94ED636}" srcOrd="2" destOrd="0" presId="urn:microsoft.com/office/officeart/2005/8/layout/radial6"/>
    <dgm:cxn modelId="{5D4C591E-BD01-4599-9B16-9459CC9691BA}" type="presParOf" srcId="{6EEE0806-771D-49DD-9216-6CAAC8E3F2D8}" destId="{39724440-E3F4-4134-AB1F-BD4F35D20652}" srcOrd="3" destOrd="0" presId="urn:microsoft.com/office/officeart/2005/8/layout/radial6"/>
    <dgm:cxn modelId="{42EE02FD-D6A3-4178-BC03-45ED39664A72}" type="presParOf" srcId="{6EEE0806-771D-49DD-9216-6CAAC8E3F2D8}" destId="{E0B8C3D1-A869-44FB-B748-FAE6C9657968}" srcOrd="4" destOrd="0" presId="urn:microsoft.com/office/officeart/2005/8/layout/radial6"/>
    <dgm:cxn modelId="{53749699-631B-43AC-AB65-FF86E01E34C3}" type="presParOf" srcId="{6EEE0806-771D-49DD-9216-6CAAC8E3F2D8}" destId="{CDF715FE-4901-4492-B8A8-A87CB1CA3A1C}" srcOrd="5" destOrd="0" presId="urn:microsoft.com/office/officeart/2005/8/layout/radial6"/>
    <dgm:cxn modelId="{D6CA6F8C-0367-4A8A-BC87-0F40AC6F46F8}" type="presParOf" srcId="{6EEE0806-771D-49DD-9216-6CAAC8E3F2D8}" destId="{84E90409-CE60-4F8E-9EC7-6CC28743EB56}" srcOrd="6" destOrd="0" presId="urn:microsoft.com/office/officeart/2005/8/layout/radial6"/>
    <dgm:cxn modelId="{E82BC7D8-E176-456A-B692-3F9729132373}" type="presParOf" srcId="{6EEE0806-771D-49DD-9216-6CAAC8E3F2D8}" destId="{6AFCD277-1728-42D4-83AF-B5F45B7041EA}" srcOrd="7" destOrd="0" presId="urn:microsoft.com/office/officeart/2005/8/layout/radial6"/>
    <dgm:cxn modelId="{36E9C019-5F48-4289-8240-D5DBB6675E59}" type="presParOf" srcId="{6EEE0806-771D-49DD-9216-6CAAC8E3F2D8}" destId="{78F91B8D-EF00-44C5-94DB-23253E750A68}" srcOrd="8" destOrd="0" presId="urn:microsoft.com/office/officeart/2005/8/layout/radial6"/>
    <dgm:cxn modelId="{785B8ADA-329B-4FB6-9A19-D885BFE8201F}" type="presParOf" srcId="{6EEE0806-771D-49DD-9216-6CAAC8E3F2D8}" destId="{920D8751-E79A-434D-AE93-91BB97BD03A9}" srcOrd="9" destOrd="0" presId="urn:microsoft.com/office/officeart/2005/8/layout/radial6"/>
    <dgm:cxn modelId="{36AC07A0-D46E-40D9-A797-F165F94A9B57}" type="presParOf" srcId="{6EEE0806-771D-49DD-9216-6CAAC8E3F2D8}" destId="{BB1B1884-9466-40FD-A33B-9483424B303D}" srcOrd="10" destOrd="0" presId="urn:microsoft.com/office/officeart/2005/8/layout/radial6"/>
    <dgm:cxn modelId="{4F52097B-A054-402D-B4BA-32E22B24E6E2}" type="presParOf" srcId="{6EEE0806-771D-49DD-9216-6CAAC8E3F2D8}" destId="{C6DDD920-D3E4-463B-AB74-D75A51A0F9FA}" srcOrd="11" destOrd="0" presId="urn:microsoft.com/office/officeart/2005/8/layout/radial6"/>
    <dgm:cxn modelId="{F64699B2-E9B1-41C6-95D9-3685F0B1E167}" type="presParOf" srcId="{6EEE0806-771D-49DD-9216-6CAAC8E3F2D8}" destId="{F885C155-F581-43F6-86EE-FE5FE2DE2210}" srcOrd="12" destOrd="0" presId="urn:microsoft.com/office/officeart/2005/8/layout/radial6"/>
    <dgm:cxn modelId="{03552AB4-7FE8-404B-98FE-4E5A280B58C7}" type="presParOf" srcId="{6EEE0806-771D-49DD-9216-6CAAC8E3F2D8}" destId="{72038C6D-FFE5-40D5-998D-AA102E6442EE}" srcOrd="13" destOrd="0" presId="urn:microsoft.com/office/officeart/2005/8/layout/radial6"/>
    <dgm:cxn modelId="{8D92E80F-D7CB-4C9C-8882-D2B1571D067C}" type="presParOf" srcId="{6EEE0806-771D-49DD-9216-6CAAC8E3F2D8}" destId="{045842A7-DD41-4232-866D-12F35B6370EB}" srcOrd="14" destOrd="0" presId="urn:microsoft.com/office/officeart/2005/8/layout/radial6"/>
    <dgm:cxn modelId="{73E2BE98-2798-4144-924F-A7F2229EF52D}" type="presParOf" srcId="{6EEE0806-771D-49DD-9216-6CAAC8E3F2D8}" destId="{56D3EAB7-CFC1-40D6-950F-2B62C8B96E15}" srcOrd="15" destOrd="0" presId="urn:microsoft.com/office/officeart/2005/8/layout/radial6"/>
    <dgm:cxn modelId="{F90CD222-0087-451C-BD69-0E05A5478545}" type="presParOf" srcId="{6EEE0806-771D-49DD-9216-6CAAC8E3F2D8}" destId="{C67BD8B4-A311-4A8D-9806-039E120EA018}" srcOrd="16" destOrd="0" presId="urn:microsoft.com/office/officeart/2005/8/layout/radial6"/>
    <dgm:cxn modelId="{61F7E8ED-EE51-47ED-B13A-56CF729F3961}" type="presParOf" srcId="{6EEE0806-771D-49DD-9216-6CAAC8E3F2D8}" destId="{23CEAE95-323F-4041-A486-F10849C85C73}" srcOrd="17" destOrd="0" presId="urn:microsoft.com/office/officeart/2005/8/layout/radial6"/>
    <dgm:cxn modelId="{63BE5B41-50A1-439D-8F19-4C81381BBA73}" type="presParOf" srcId="{6EEE0806-771D-49DD-9216-6CAAC8E3F2D8}" destId="{9728355A-5ABD-476F-AFAF-465645F2E3B2}" srcOrd="18" destOrd="0" presId="urn:microsoft.com/office/officeart/2005/8/layout/radial6"/>
    <dgm:cxn modelId="{1244CAC2-401A-49B4-B3AD-F926561604DC}" type="presParOf" srcId="{6EEE0806-771D-49DD-9216-6CAAC8E3F2D8}" destId="{6CAC1210-6F0A-4286-8E3C-D7F7A5663C89}" srcOrd="19" destOrd="0" presId="urn:microsoft.com/office/officeart/2005/8/layout/radial6"/>
    <dgm:cxn modelId="{B561F5F1-1A39-4267-B674-40C8E4ED4EB4}" type="presParOf" srcId="{6EEE0806-771D-49DD-9216-6CAAC8E3F2D8}" destId="{3CB2B29F-6277-4B56-B1A7-B85CA2C5E48B}" srcOrd="20" destOrd="0" presId="urn:microsoft.com/office/officeart/2005/8/layout/radial6"/>
    <dgm:cxn modelId="{26B9DB24-2F96-4EB3-80E1-AAE540134516}" type="presParOf" srcId="{6EEE0806-771D-49DD-9216-6CAAC8E3F2D8}" destId="{C4AA1AB5-4095-4935-AC1A-971740E03896}" srcOrd="21" destOrd="0" presId="urn:microsoft.com/office/officeart/2005/8/layout/radial6"/>
  </dgm:cxnLst>
  <dgm:bg/>
  <dgm:whole>
    <a:ln>
      <a:solidFill>
        <a:srgbClr val="C00000"/>
      </a:solidFill>
    </a:ln>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CB807F-05B0-4B51-B88A-D786E9AD1E53}">
      <dsp:nvSpPr>
        <dsp:cNvPr id="0" name=""/>
        <dsp:cNvSpPr/>
      </dsp:nvSpPr>
      <dsp:spPr>
        <a:xfrm>
          <a:off x="443626" y="0"/>
          <a:ext cx="5027771" cy="85725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8372468-E9C4-40A3-BC93-5A05A7B7DB9C}">
      <dsp:nvSpPr>
        <dsp:cNvPr id="0" name=""/>
        <dsp:cNvSpPr/>
      </dsp:nvSpPr>
      <dsp:spPr>
        <a:xfrm>
          <a:off x="2960" y="257175"/>
          <a:ext cx="1423880" cy="3429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a:t>Mobilisation phase</a:t>
          </a:r>
        </a:p>
      </dsp:txBody>
      <dsp:txXfrm>
        <a:off x="19699" y="273914"/>
        <a:ext cx="1390402" cy="309422"/>
      </dsp:txXfrm>
    </dsp:sp>
    <dsp:sp modelId="{29EF5858-54E6-450E-A9FF-CA58FB148851}">
      <dsp:nvSpPr>
        <dsp:cNvPr id="0" name=""/>
        <dsp:cNvSpPr/>
      </dsp:nvSpPr>
      <dsp:spPr>
        <a:xfrm>
          <a:off x="1498034" y="257175"/>
          <a:ext cx="1423880" cy="342900"/>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a:t>Analysis phase</a:t>
          </a:r>
        </a:p>
      </dsp:txBody>
      <dsp:txXfrm>
        <a:off x="1514773" y="273914"/>
        <a:ext cx="1390402" cy="309422"/>
      </dsp:txXfrm>
    </dsp:sp>
    <dsp:sp modelId="{CE557E88-8FD5-44C3-A176-B3A2677F8B38}">
      <dsp:nvSpPr>
        <dsp:cNvPr id="0" name=""/>
        <dsp:cNvSpPr/>
      </dsp:nvSpPr>
      <dsp:spPr>
        <a:xfrm>
          <a:off x="2993109" y="257175"/>
          <a:ext cx="1423880" cy="342900"/>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a:t>Decision phase</a:t>
          </a:r>
        </a:p>
      </dsp:txBody>
      <dsp:txXfrm>
        <a:off x="3009848" y="273914"/>
        <a:ext cx="1390402" cy="309422"/>
      </dsp:txXfrm>
    </dsp:sp>
    <dsp:sp modelId="{37F5E3E5-6835-4899-AE87-F8627FA0C994}">
      <dsp:nvSpPr>
        <dsp:cNvPr id="0" name=""/>
        <dsp:cNvSpPr/>
      </dsp:nvSpPr>
      <dsp:spPr>
        <a:xfrm>
          <a:off x="4488184" y="257175"/>
          <a:ext cx="1423880" cy="342900"/>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dirty="0"/>
            <a:t>Execution phase</a:t>
          </a:r>
        </a:p>
      </dsp:txBody>
      <dsp:txXfrm>
        <a:off x="4504923" y="273914"/>
        <a:ext cx="1390402" cy="3094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A1AB5-4095-4935-AC1A-971740E03896}">
      <dsp:nvSpPr>
        <dsp:cNvPr id="0" name=""/>
        <dsp:cNvSpPr/>
      </dsp:nvSpPr>
      <dsp:spPr>
        <a:xfrm>
          <a:off x="1550336" y="335290"/>
          <a:ext cx="2661359" cy="2661359"/>
        </a:xfrm>
        <a:prstGeom prst="blockArc">
          <a:avLst>
            <a:gd name="adj1" fmla="val 13114286"/>
            <a:gd name="adj2" fmla="val 16200000"/>
            <a:gd name="adj3" fmla="val 3897"/>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28355A-5ABD-476F-AFAF-465645F2E3B2}">
      <dsp:nvSpPr>
        <dsp:cNvPr id="0" name=""/>
        <dsp:cNvSpPr/>
      </dsp:nvSpPr>
      <dsp:spPr>
        <a:xfrm>
          <a:off x="1550336" y="335290"/>
          <a:ext cx="2661359" cy="2661359"/>
        </a:xfrm>
        <a:prstGeom prst="blockArc">
          <a:avLst>
            <a:gd name="adj1" fmla="val 10028571"/>
            <a:gd name="adj2" fmla="val 13114286"/>
            <a:gd name="adj3" fmla="val 3897"/>
          </a:avLst>
        </a:prstGeom>
        <a:solidFill>
          <a:schemeClr val="accent3">
            <a:hueOff val="9375220"/>
            <a:satOff val="-14067"/>
            <a:lumOff val="-228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D3EAB7-CFC1-40D6-950F-2B62C8B96E15}">
      <dsp:nvSpPr>
        <dsp:cNvPr id="0" name=""/>
        <dsp:cNvSpPr/>
      </dsp:nvSpPr>
      <dsp:spPr>
        <a:xfrm>
          <a:off x="1550336" y="335290"/>
          <a:ext cx="2661359" cy="2661359"/>
        </a:xfrm>
        <a:prstGeom prst="blockArc">
          <a:avLst>
            <a:gd name="adj1" fmla="val 6942857"/>
            <a:gd name="adj2" fmla="val 10028571"/>
            <a:gd name="adj3" fmla="val 3897"/>
          </a:avLst>
        </a:prstGeom>
        <a:solidFill>
          <a:schemeClr val="accent3">
            <a:hueOff val="7500176"/>
            <a:satOff val="-11253"/>
            <a:lumOff val="-183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85C155-F581-43F6-86EE-FE5FE2DE2210}">
      <dsp:nvSpPr>
        <dsp:cNvPr id="0" name=""/>
        <dsp:cNvSpPr/>
      </dsp:nvSpPr>
      <dsp:spPr>
        <a:xfrm>
          <a:off x="1550336" y="335290"/>
          <a:ext cx="2661359" cy="2661359"/>
        </a:xfrm>
        <a:prstGeom prst="blockArc">
          <a:avLst>
            <a:gd name="adj1" fmla="val 3857143"/>
            <a:gd name="adj2" fmla="val 6942857"/>
            <a:gd name="adj3" fmla="val 3897"/>
          </a:avLst>
        </a:prstGeom>
        <a:solidFill>
          <a:schemeClr val="accent3">
            <a:hueOff val="5625132"/>
            <a:satOff val="-8440"/>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0D8751-E79A-434D-AE93-91BB97BD03A9}">
      <dsp:nvSpPr>
        <dsp:cNvPr id="0" name=""/>
        <dsp:cNvSpPr/>
      </dsp:nvSpPr>
      <dsp:spPr>
        <a:xfrm>
          <a:off x="1550336" y="335290"/>
          <a:ext cx="2661359" cy="2661359"/>
        </a:xfrm>
        <a:prstGeom prst="blockArc">
          <a:avLst>
            <a:gd name="adj1" fmla="val 771429"/>
            <a:gd name="adj2" fmla="val 3857143"/>
            <a:gd name="adj3" fmla="val 3897"/>
          </a:avLst>
        </a:prstGeom>
        <a:solidFill>
          <a:schemeClr val="accent3">
            <a:hueOff val="3750088"/>
            <a:satOff val="-5627"/>
            <a:lumOff val="-9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E90409-CE60-4F8E-9EC7-6CC28743EB56}">
      <dsp:nvSpPr>
        <dsp:cNvPr id="0" name=""/>
        <dsp:cNvSpPr/>
      </dsp:nvSpPr>
      <dsp:spPr>
        <a:xfrm>
          <a:off x="1550336" y="335290"/>
          <a:ext cx="2661359" cy="2661359"/>
        </a:xfrm>
        <a:prstGeom prst="blockArc">
          <a:avLst>
            <a:gd name="adj1" fmla="val 19285714"/>
            <a:gd name="adj2" fmla="val 771429"/>
            <a:gd name="adj3" fmla="val 3897"/>
          </a:avLst>
        </a:prstGeom>
        <a:solidFill>
          <a:schemeClr val="accent3">
            <a:hueOff val="1875044"/>
            <a:satOff val="-2813"/>
            <a:lumOff val="-45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724440-E3F4-4134-AB1F-BD4F35D20652}">
      <dsp:nvSpPr>
        <dsp:cNvPr id="0" name=""/>
        <dsp:cNvSpPr/>
      </dsp:nvSpPr>
      <dsp:spPr>
        <a:xfrm>
          <a:off x="1550336" y="335290"/>
          <a:ext cx="2661359" cy="2661359"/>
        </a:xfrm>
        <a:prstGeom prst="blockArc">
          <a:avLst>
            <a:gd name="adj1" fmla="val 16200000"/>
            <a:gd name="adj2" fmla="val 19285714"/>
            <a:gd name="adj3" fmla="val 3897"/>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1064DD-425C-48DC-9A13-24F2E445C241}">
      <dsp:nvSpPr>
        <dsp:cNvPr id="0" name=""/>
        <dsp:cNvSpPr/>
      </dsp:nvSpPr>
      <dsp:spPr>
        <a:xfrm>
          <a:off x="2366591" y="1151546"/>
          <a:ext cx="1028849" cy="1028849"/>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Off Balance Sheet items</a:t>
          </a:r>
        </a:p>
      </dsp:txBody>
      <dsp:txXfrm>
        <a:off x="2517262" y="1302217"/>
        <a:ext cx="727507" cy="727507"/>
      </dsp:txXfrm>
    </dsp:sp>
    <dsp:sp modelId="{9DE9AA15-3DEF-4A50-9D05-064D220AF17E}">
      <dsp:nvSpPr>
        <dsp:cNvPr id="0" name=""/>
        <dsp:cNvSpPr/>
      </dsp:nvSpPr>
      <dsp:spPr>
        <a:xfrm>
          <a:off x="2340492" y="1120"/>
          <a:ext cx="1081047" cy="72019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Joint Ventures</a:t>
          </a:r>
        </a:p>
      </dsp:txBody>
      <dsp:txXfrm>
        <a:off x="2498808" y="106590"/>
        <a:ext cx="764415" cy="509254"/>
      </dsp:txXfrm>
    </dsp:sp>
    <dsp:sp modelId="{E0B8C3D1-A869-44FB-B748-FAE6C9657968}">
      <dsp:nvSpPr>
        <dsp:cNvPr id="0" name=""/>
        <dsp:cNvSpPr/>
      </dsp:nvSpPr>
      <dsp:spPr>
        <a:xfrm>
          <a:off x="3486147" y="492373"/>
          <a:ext cx="829930" cy="720194"/>
        </a:xfrm>
        <a:prstGeom prst="ellipse">
          <a:avLst/>
        </a:prstGeom>
        <a:solidFill>
          <a:schemeClr val="accent3">
            <a:hueOff val="1875044"/>
            <a:satOff val="-2813"/>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a:t>Derivatives</a:t>
          </a:r>
        </a:p>
      </dsp:txBody>
      <dsp:txXfrm>
        <a:off x="3607687" y="597843"/>
        <a:ext cx="586850" cy="509254"/>
      </dsp:txXfrm>
    </dsp:sp>
    <dsp:sp modelId="{6AFCD277-1728-42D4-83AF-B5F45B7041EA}">
      <dsp:nvSpPr>
        <dsp:cNvPr id="0" name=""/>
        <dsp:cNvSpPr/>
      </dsp:nvSpPr>
      <dsp:spPr>
        <a:xfrm>
          <a:off x="3716168" y="1596208"/>
          <a:ext cx="873775" cy="720194"/>
        </a:xfrm>
        <a:prstGeom prst="ellipse">
          <a:avLst/>
        </a:prstGeom>
        <a:solidFill>
          <a:schemeClr val="accent3">
            <a:hueOff val="3750088"/>
            <a:satOff val="-5627"/>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a:t>Partnerships</a:t>
          </a:r>
        </a:p>
      </dsp:txBody>
      <dsp:txXfrm>
        <a:off x="3844129" y="1701678"/>
        <a:ext cx="617853" cy="509254"/>
      </dsp:txXfrm>
    </dsp:sp>
    <dsp:sp modelId="{BB1B1884-9466-40FD-A33B-9483424B303D}">
      <dsp:nvSpPr>
        <dsp:cNvPr id="0" name=""/>
        <dsp:cNvSpPr/>
      </dsp:nvSpPr>
      <dsp:spPr>
        <a:xfrm>
          <a:off x="2990048" y="2481415"/>
          <a:ext cx="914157" cy="720194"/>
        </a:xfrm>
        <a:prstGeom prst="ellips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Operational leases</a:t>
          </a:r>
        </a:p>
      </dsp:txBody>
      <dsp:txXfrm>
        <a:off x="3123923" y="2586885"/>
        <a:ext cx="646407" cy="509254"/>
      </dsp:txXfrm>
    </dsp:sp>
    <dsp:sp modelId="{72038C6D-FFE5-40D5-998D-AA102E6442EE}">
      <dsp:nvSpPr>
        <dsp:cNvPr id="0" name=""/>
        <dsp:cNvSpPr/>
      </dsp:nvSpPr>
      <dsp:spPr>
        <a:xfrm>
          <a:off x="1878474" y="2481415"/>
          <a:ext cx="872861" cy="720194"/>
        </a:xfrm>
        <a:prstGeom prst="ellipse">
          <a:avLst/>
        </a:prstGeom>
        <a:solidFill>
          <a:schemeClr val="accent3">
            <a:hueOff val="7500176"/>
            <a:satOff val="-11253"/>
            <a:lumOff val="-18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Sale of receivables</a:t>
          </a:r>
        </a:p>
      </dsp:txBody>
      <dsp:txXfrm>
        <a:off x="2006302" y="2586885"/>
        <a:ext cx="617205" cy="509254"/>
      </dsp:txXfrm>
    </dsp:sp>
    <dsp:sp modelId="{C67BD8B4-A311-4A8D-9806-039E120EA018}">
      <dsp:nvSpPr>
        <dsp:cNvPr id="0" name=""/>
        <dsp:cNvSpPr/>
      </dsp:nvSpPr>
      <dsp:spPr>
        <a:xfrm>
          <a:off x="1128055" y="1596208"/>
          <a:ext cx="961841" cy="720194"/>
        </a:xfrm>
        <a:prstGeom prst="ellipse">
          <a:avLst/>
        </a:prstGeom>
        <a:solidFill>
          <a:schemeClr val="accent3">
            <a:hueOff val="9375220"/>
            <a:satOff val="-14067"/>
            <a:lumOff val="-22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Securities</a:t>
          </a:r>
        </a:p>
      </dsp:txBody>
      <dsp:txXfrm>
        <a:off x="1268913" y="1701678"/>
        <a:ext cx="680125" cy="509254"/>
      </dsp:txXfrm>
    </dsp:sp>
    <dsp:sp modelId="{6CAC1210-6F0A-4286-8E3C-D7F7A5663C89}">
      <dsp:nvSpPr>
        <dsp:cNvPr id="0" name=""/>
        <dsp:cNvSpPr/>
      </dsp:nvSpPr>
      <dsp:spPr>
        <a:xfrm>
          <a:off x="1320863" y="492373"/>
          <a:ext cx="1080111" cy="720194"/>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dirty="0"/>
            <a:t>Special purpose entities</a:t>
          </a:r>
        </a:p>
      </dsp:txBody>
      <dsp:txXfrm>
        <a:off x="1479042" y="597843"/>
        <a:ext cx="763753" cy="5092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050DF7CEFED47C4081EBACCFBCE62303" ma:contentTypeVersion="1" ma:contentTypeDescription="Create a new document." ma:contentTypeScope="" ma:versionID="d248963deac00380932ed576ff414a47">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27F9AC-A02A-4801-93E1-822EE791BA09}"/>
</file>

<file path=customXml/itemProps2.xml><?xml version="1.0" encoding="utf-8"?>
<ds:datastoreItem xmlns:ds="http://schemas.openxmlformats.org/officeDocument/2006/customXml" ds:itemID="{6BCF9201-C75D-4C6F-AAD9-C42A34D0623B}"/>
</file>

<file path=customXml/itemProps3.xml><?xml version="1.0" encoding="utf-8"?>
<ds:datastoreItem xmlns:ds="http://schemas.openxmlformats.org/officeDocument/2006/customXml" ds:itemID="{2EC95603-9C81-4A8A-9EE8-D4EE62548F48}"/>
</file>

<file path=customXml/itemProps4.xml><?xml version="1.0" encoding="utf-8"?>
<ds:datastoreItem xmlns:ds="http://schemas.openxmlformats.org/officeDocument/2006/customXml" ds:itemID="{79546C64-2FA9-4C1D-8372-040546C02A7D}"/>
</file>

<file path=docProps/app.xml><?xml version="1.0" encoding="utf-8"?>
<Properties xmlns="http://schemas.openxmlformats.org/officeDocument/2006/extended-properties" xmlns:vt="http://schemas.openxmlformats.org/officeDocument/2006/docPropsVTypes">
  <Template>Normal</Template>
  <TotalTime>1</TotalTime>
  <Pages>47</Pages>
  <Words>9245</Words>
  <Characters>52699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61821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Hennie</dc:creator>
  <cp:lastModifiedBy>Yasmin</cp:lastModifiedBy>
  <cp:revision>2</cp:revision>
  <cp:lastPrinted>2013-09-12T07:25:00Z</cp:lastPrinted>
  <dcterms:created xsi:type="dcterms:W3CDTF">2016-07-22T09:27:00Z</dcterms:created>
  <dcterms:modified xsi:type="dcterms:W3CDTF">2016-07-22T09:27:00Z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-1297444745</vt:i4>
  </property>
  <property fmtid="{D5CDD505-2E9C-101B-9397-08002B2CF9AE}" pid="3" name="ContentTypeId">
    <vt:lpwstr>0x010100050DF7CEFED47C4081EBACCFBCE62303</vt:lpwstr>
  </property>
</Properties>
</file>